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0"/>
          <w:szCs w:val="40"/>
        </w:rPr>
      </w:pPr>
    </w:p>
    <w:p>
      <w:pPr>
        <w:jc w:val="center"/>
        <w:rPr>
          <w:b/>
          <w:bCs/>
          <w:snapToGrid w:val="0"/>
          <w:sz w:val="52"/>
          <w:szCs w:val="72"/>
        </w:rPr>
      </w:pPr>
      <w:r>
        <w:rPr>
          <w:rFonts w:hint="eastAsia"/>
          <w:b/>
          <w:bCs/>
          <w:snapToGrid w:val="0"/>
          <w:sz w:val="52"/>
          <w:szCs w:val="72"/>
          <w:lang w:val="en-US" w:eastAsia="zh-CN"/>
        </w:rPr>
        <w:t>消防维保采购</w:t>
      </w:r>
      <w:r>
        <w:rPr>
          <w:rFonts w:hint="eastAsia"/>
          <w:b/>
          <w:bCs/>
          <w:snapToGrid w:val="0"/>
          <w:sz w:val="52"/>
          <w:szCs w:val="72"/>
        </w:rPr>
        <w:t>项目</w:t>
      </w:r>
    </w:p>
    <w:p>
      <w:pPr>
        <w:pStyle w:val="8"/>
        <w:rPr>
          <w:snapToGrid w:val="0"/>
        </w:rPr>
      </w:pPr>
    </w:p>
    <w:p>
      <w:pPr>
        <w:jc w:val="center"/>
      </w:pPr>
      <w:r>
        <w:rPr>
          <w:rFonts w:hint="eastAsia"/>
          <w:b/>
          <w:bCs/>
          <w:snapToGrid w:val="0"/>
          <w:sz w:val="52"/>
          <w:szCs w:val="72"/>
          <w:lang w:val="en-US" w:eastAsia="zh-CN"/>
        </w:rPr>
        <w:t>招标文件</w:t>
      </w:r>
    </w:p>
    <w:p>
      <w:pPr>
        <w:jc w:val="center"/>
        <w:rPr>
          <w:rFonts w:hint="eastAsia"/>
          <w:snapToGrid w:val="0"/>
        </w:rPr>
      </w:pPr>
    </w:p>
    <w:p>
      <w:pPr>
        <w:jc w:val="center"/>
        <w:rPr>
          <w:rFonts w:hint="eastAsia"/>
          <w:snapToGrid w:val="0"/>
        </w:rPr>
      </w:pPr>
    </w:p>
    <w:p>
      <w:pPr>
        <w:jc w:val="center"/>
        <w:rPr>
          <w:rFonts w:hint="eastAsia"/>
          <w:snapToGrid w:val="0"/>
        </w:rPr>
      </w:pPr>
    </w:p>
    <w:p>
      <w:pPr>
        <w:jc w:val="center"/>
        <w:rPr>
          <w:rFonts w:hint="eastAsia"/>
          <w:snapToGrid w:val="0"/>
        </w:rPr>
      </w:pPr>
    </w:p>
    <w:p>
      <w:pPr>
        <w:jc w:val="center"/>
        <w:rPr>
          <w:rFonts w:hint="eastAsia"/>
          <w:snapToGrid w:val="0"/>
        </w:rPr>
      </w:pPr>
    </w:p>
    <w:p>
      <w:pPr>
        <w:jc w:val="center"/>
        <w:rPr>
          <w:rFonts w:hint="default" w:eastAsia="宋体"/>
          <w:b/>
          <w:bCs/>
          <w:snapToGrid w:val="0"/>
          <w:sz w:val="28"/>
          <w:szCs w:val="28"/>
          <w:lang w:val="en-US" w:eastAsia="zh-CN"/>
        </w:rPr>
      </w:pPr>
      <w:r>
        <w:rPr>
          <w:rFonts w:hint="eastAsia"/>
          <w:b/>
          <w:bCs/>
          <w:snapToGrid w:val="0"/>
          <w:sz w:val="28"/>
          <w:szCs w:val="28"/>
        </w:rPr>
        <w:t>招标编号：</w:t>
      </w:r>
      <w:r>
        <w:rPr>
          <w:rFonts w:hint="eastAsia"/>
          <w:b/>
          <w:bCs/>
          <w:snapToGrid w:val="0"/>
          <w:sz w:val="28"/>
          <w:szCs w:val="28"/>
          <w:lang w:val="en-US" w:eastAsia="zh-CN"/>
        </w:rPr>
        <w:t>SZPS2024007</w:t>
      </w:r>
    </w:p>
    <w:p>
      <w:pPr>
        <w:jc w:val="center"/>
        <w:rPr>
          <w:snapToGrid w:val="0"/>
        </w:rPr>
      </w:pPr>
    </w:p>
    <w:p>
      <w:pPr>
        <w:jc w:val="center"/>
        <w:rPr>
          <w:snapToGrid w:val="0"/>
          <w:sz w:val="18"/>
        </w:rPr>
      </w:pPr>
    </w:p>
    <w:p>
      <w:pPr>
        <w:pStyle w:val="10"/>
        <w:jc w:val="center"/>
        <w:rPr>
          <w:snapToGrid w:val="0"/>
        </w:rPr>
      </w:pPr>
    </w:p>
    <w:p>
      <w:pPr>
        <w:pStyle w:val="10"/>
        <w:rPr>
          <w:snapToGrid w:val="0"/>
        </w:rPr>
      </w:pPr>
    </w:p>
    <w:p>
      <w:pPr>
        <w:pStyle w:val="10"/>
        <w:rPr>
          <w:snapToGrid w:val="0"/>
        </w:rPr>
      </w:pPr>
    </w:p>
    <w:p>
      <w:pPr>
        <w:pStyle w:val="10"/>
        <w:rPr>
          <w:snapToGrid w:val="0"/>
        </w:rPr>
      </w:pPr>
    </w:p>
    <w:p>
      <w:pPr>
        <w:pStyle w:val="10"/>
        <w:rPr>
          <w:snapToGrid w:val="0"/>
        </w:rPr>
      </w:pPr>
    </w:p>
    <w:p>
      <w:pPr>
        <w:pStyle w:val="10"/>
        <w:rPr>
          <w:snapToGrid w:val="0"/>
        </w:rPr>
      </w:pPr>
    </w:p>
    <w:p>
      <w:pPr>
        <w:pStyle w:val="10"/>
        <w:rPr>
          <w:snapToGrid w:val="0"/>
        </w:rPr>
      </w:pPr>
    </w:p>
    <w:p>
      <w:pPr>
        <w:pStyle w:val="10"/>
        <w:rPr>
          <w:snapToGrid w:val="0"/>
        </w:rPr>
      </w:pPr>
    </w:p>
    <w:p>
      <w:pPr>
        <w:pStyle w:val="10"/>
        <w:rPr>
          <w:snapToGrid w:val="0"/>
        </w:rPr>
      </w:pPr>
    </w:p>
    <w:p>
      <w:pPr>
        <w:pStyle w:val="10"/>
        <w:jc w:val="center"/>
        <w:rPr>
          <w:rFonts w:hint="eastAsia" w:hAnsi="Courier New"/>
          <w:snapToGrid w:val="0"/>
        </w:rPr>
      </w:pPr>
      <w:r>
        <w:rPr>
          <w:rFonts w:hint="eastAsia" w:hAnsi="Courier New"/>
          <w:snapToGrid w:val="0"/>
        </w:rPr>
        <w:t>深圳中学坪山创新学校</w:t>
      </w:r>
    </w:p>
    <w:p>
      <w:pPr>
        <w:pStyle w:val="10"/>
        <w:jc w:val="center"/>
        <w:rPr>
          <w:rFonts w:hint="default" w:hAnsi="Courier New"/>
          <w:snapToGrid w:val="0"/>
          <w:lang w:val="en-US" w:eastAsia="zh-CN"/>
        </w:rPr>
      </w:pPr>
      <w:r>
        <w:rPr>
          <w:rFonts w:hint="eastAsia" w:hAnsi="Courier New"/>
          <w:snapToGrid w:val="0"/>
          <w:lang w:val="en-US" w:eastAsia="zh-CN"/>
        </w:rPr>
        <w:t>深圳中学</w:t>
      </w:r>
      <w:r>
        <w:rPr>
          <w:rFonts w:hint="eastAsia"/>
          <w:snapToGrid w:val="0"/>
          <w:lang w:val="en-US" w:eastAsia="zh-CN"/>
        </w:rPr>
        <w:t>数理高中</w:t>
      </w:r>
    </w:p>
    <w:p>
      <w:pPr>
        <w:pStyle w:val="10"/>
        <w:jc w:val="center"/>
        <w:rPr>
          <w:snapToGrid w:val="0"/>
        </w:rPr>
      </w:pPr>
      <w:r>
        <w:rPr>
          <w:snapToGrid w:val="0"/>
        </w:rPr>
        <w:t>二</w:t>
      </w:r>
      <w:r>
        <w:rPr>
          <w:rFonts w:hint="eastAsia"/>
          <w:snapToGrid w:val="0"/>
        </w:rPr>
        <w:t>○</w:t>
      </w:r>
      <w:r>
        <w:rPr>
          <w:snapToGrid w:val="0"/>
        </w:rPr>
        <w:t>二</w:t>
      </w:r>
      <w:r>
        <w:rPr>
          <w:rFonts w:hint="eastAsia"/>
          <w:snapToGrid w:val="0"/>
        </w:rPr>
        <w:t>四</w:t>
      </w:r>
      <w:r>
        <w:rPr>
          <w:snapToGrid w:val="0"/>
        </w:rPr>
        <w:t>年</w:t>
      </w:r>
      <w:r>
        <w:rPr>
          <w:rFonts w:hint="eastAsia"/>
          <w:snapToGrid w:val="0"/>
          <w:color w:val="000000"/>
          <w:sz w:val="28"/>
          <w:szCs w:val="28"/>
          <w:highlight w:val="none"/>
          <w:lang w:val="en-US" w:eastAsia="zh-CN"/>
        </w:rPr>
        <w:t>三</w:t>
      </w:r>
      <w:r>
        <w:rPr>
          <w:snapToGrid w:val="0"/>
        </w:rPr>
        <w:t>月</w:t>
      </w:r>
    </w:p>
    <w:p>
      <w:pPr>
        <w:rPr>
          <w:snapToGrid w:val="0"/>
        </w:rPr>
      </w:pPr>
      <w:r>
        <w:rPr>
          <w:snapToGrid w:val="0"/>
        </w:rPr>
        <w:br w:type="page"/>
      </w:r>
    </w:p>
    <w:p>
      <w:pPr>
        <w:pStyle w:val="9"/>
        <w:numPr>
          <w:ilvl w:val="0"/>
          <w:numId w:val="1"/>
        </w:numPr>
      </w:pPr>
      <w:r>
        <w:rPr>
          <w:rFonts w:hint="eastAsia"/>
        </w:rPr>
        <w:t>投标人须知前附表</w:t>
      </w:r>
    </w:p>
    <w:tbl>
      <w:tblPr>
        <w:tblStyle w:val="17"/>
        <w:tblW w:w="920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155"/>
        <w:gridCol w:w="1134"/>
        <w:gridCol w:w="59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7" w:type="dxa"/>
            <w:tcBorders>
              <w:top w:val="double" w:color="auto" w:sz="4" w:space="0"/>
            </w:tcBorders>
            <w:vAlign w:val="center"/>
          </w:tcPr>
          <w:p>
            <w:pPr>
              <w:pStyle w:val="9"/>
            </w:pPr>
            <w:r>
              <w:rPr>
                <w:rFonts w:hint="eastAsia"/>
              </w:rPr>
              <w:t>序号</w:t>
            </w:r>
          </w:p>
        </w:tc>
        <w:tc>
          <w:tcPr>
            <w:tcW w:w="1155" w:type="dxa"/>
            <w:tcBorders>
              <w:top w:val="double" w:color="auto" w:sz="4" w:space="0"/>
            </w:tcBorders>
            <w:vAlign w:val="center"/>
          </w:tcPr>
          <w:p>
            <w:pPr>
              <w:pStyle w:val="9"/>
            </w:pPr>
            <w:r>
              <w:rPr>
                <w:rFonts w:hint="eastAsia"/>
              </w:rPr>
              <w:t>条款号</w:t>
            </w:r>
          </w:p>
        </w:tc>
        <w:tc>
          <w:tcPr>
            <w:tcW w:w="1134" w:type="dxa"/>
            <w:tcBorders>
              <w:top w:val="double" w:color="auto" w:sz="4" w:space="0"/>
            </w:tcBorders>
            <w:vAlign w:val="center"/>
          </w:tcPr>
          <w:p>
            <w:pPr>
              <w:pStyle w:val="9"/>
            </w:pPr>
            <w:r>
              <w:rPr>
                <w:rFonts w:hint="eastAsia"/>
              </w:rPr>
              <w:t>内容</w:t>
            </w:r>
          </w:p>
        </w:tc>
        <w:tc>
          <w:tcPr>
            <w:tcW w:w="5954" w:type="dxa"/>
            <w:tcBorders>
              <w:top w:val="double" w:color="auto" w:sz="4" w:space="0"/>
            </w:tcBorders>
            <w:vAlign w:val="center"/>
          </w:tcPr>
          <w:p>
            <w:pPr>
              <w:pStyle w:val="9"/>
            </w:pPr>
            <w:r>
              <w:rPr>
                <w:rFonts w:hint="eastAsia"/>
              </w:rPr>
              <w:t>内容规定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57" w:type="dxa"/>
            <w:vAlign w:val="center"/>
          </w:tcPr>
          <w:p>
            <w:pPr>
              <w:pStyle w:val="9"/>
            </w:pPr>
            <w:r>
              <w:rPr>
                <w:rFonts w:hint="eastAsia"/>
              </w:rPr>
              <w:t>1</w:t>
            </w:r>
          </w:p>
        </w:tc>
        <w:tc>
          <w:tcPr>
            <w:tcW w:w="1155" w:type="dxa"/>
            <w:vAlign w:val="center"/>
          </w:tcPr>
          <w:p>
            <w:pPr>
              <w:pStyle w:val="9"/>
            </w:pPr>
            <w:r>
              <w:rPr>
                <w:rFonts w:hint="eastAsia"/>
              </w:rPr>
              <w:t>1.1</w:t>
            </w:r>
          </w:p>
        </w:tc>
        <w:tc>
          <w:tcPr>
            <w:tcW w:w="1134" w:type="dxa"/>
            <w:vAlign w:val="center"/>
          </w:tcPr>
          <w:p>
            <w:pPr>
              <w:pStyle w:val="9"/>
            </w:pPr>
            <w:r>
              <w:rPr>
                <w:rFonts w:hint="eastAsia"/>
              </w:rPr>
              <w:t>项目名称</w:t>
            </w:r>
          </w:p>
        </w:tc>
        <w:tc>
          <w:tcPr>
            <w:tcW w:w="5954" w:type="dxa"/>
            <w:vAlign w:val="center"/>
          </w:tcPr>
          <w:p>
            <w:pPr>
              <w:rPr>
                <w:rFonts w:hint="default" w:ascii="宋体" w:hAnsi="宋体" w:eastAsia="宋体" w:cs="宋体"/>
                <w:szCs w:val="21"/>
                <w:lang w:val="en-US" w:eastAsia="zh-CN"/>
              </w:rPr>
            </w:pPr>
            <w:r>
              <w:rPr>
                <w:rFonts w:hint="eastAsia" w:ascii="宋体" w:hAnsi="宋体" w:cs="宋体"/>
                <w:szCs w:val="21"/>
                <w:lang w:val="en-US" w:eastAsia="zh-CN"/>
              </w:rPr>
              <w:t>消防维保项目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57" w:type="dxa"/>
            <w:vAlign w:val="center"/>
          </w:tcPr>
          <w:p>
            <w:pPr>
              <w:pStyle w:val="9"/>
            </w:pPr>
            <w:r>
              <w:rPr>
                <w:rFonts w:hint="eastAsia"/>
              </w:rPr>
              <w:t>2</w:t>
            </w:r>
          </w:p>
        </w:tc>
        <w:tc>
          <w:tcPr>
            <w:tcW w:w="1155" w:type="dxa"/>
            <w:vAlign w:val="center"/>
          </w:tcPr>
          <w:p>
            <w:pPr>
              <w:pStyle w:val="9"/>
            </w:pPr>
            <w:r>
              <w:rPr>
                <w:rFonts w:hint="eastAsia"/>
              </w:rPr>
              <w:t>2.2</w:t>
            </w:r>
          </w:p>
        </w:tc>
        <w:tc>
          <w:tcPr>
            <w:tcW w:w="1134" w:type="dxa"/>
            <w:vAlign w:val="center"/>
          </w:tcPr>
          <w:p>
            <w:pPr>
              <w:pStyle w:val="9"/>
            </w:pPr>
            <w:r>
              <w:rPr>
                <w:rFonts w:hint="eastAsia"/>
              </w:rPr>
              <w:t>项目编号</w:t>
            </w:r>
          </w:p>
        </w:tc>
        <w:tc>
          <w:tcPr>
            <w:tcW w:w="5954" w:type="dxa"/>
            <w:vAlign w:val="center"/>
          </w:tcPr>
          <w:p>
            <w:pPr>
              <w:pStyle w:val="9"/>
              <w:rPr>
                <w:rFonts w:hint="default" w:eastAsia="宋体"/>
                <w:lang w:val="en-US" w:eastAsia="zh-CN"/>
              </w:rPr>
            </w:pPr>
            <w:r>
              <w:rPr>
                <w:rFonts w:hint="eastAsia"/>
                <w:highlight w:val="none"/>
                <w:lang w:val="en-US" w:eastAsia="zh-CN"/>
              </w:rPr>
              <w:t>SZPS2024007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7" w:type="dxa"/>
            <w:vAlign w:val="center"/>
          </w:tcPr>
          <w:p>
            <w:pPr>
              <w:pStyle w:val="9"/>
            </w:pPr>
            <w:r>
              <w:rPr>
                <w:rFonts w:hint="eastAsia"/>
              </w:rPr>
              <w:t>3</w:t>
            </w:r>
          </w:p>
        </w:tc>
        <w:tc>
          <w:tcPr>
            <w:tcW w:w="1155" w:type="dxa"/>
            <w:vAlign w:val="center"/>
          </w:tcPr>
          <w:p>
            <w:pPr>
              <w:pStyle w:val="9"/>
            </w:pPr>
            <w:r>
              <w:rPr>
                <w:rFonts w:hint="eastAsia"/>
              </w:rPr>
              <w:t>3.1</w:t>
            </w:r>
          </w:p>
        </w:tc>
        <w:tc>
          <w:tcPr>
            <w:tcW w:w="1134" w:type="dxa"/>
            <w:vAlign w:val="center"/>
          </w:tcPr>
          <w:p>
            <w:pPr>
              <w:pStyle w:val="9"/>
            </w:pPr>
            <w:r>
              <w:rPr>
                <w:rFonts w:hint="eastAsia"/>
              </w:rPr>
              <w:t>招标单位</w:t>
            </w:r>
          </w:p>
        </w:tc>
        <w:tc>
          <w:tcPr>
            <w:tcW w:w="5954" w:type="dxa"/>
            <w:vAlign w:val="center"/>
          </w:tcPr>
          <w:p>
            <w:pPr>
              <w:pStyle w:val="9"/>
              <w:rPr>
                <w:rFonts w:hint="default" w:eastAsia="宋体"/>
                <w:lang w:val="en-US" w:eastAsia="zh-CN"/>
              </w:rPr>
            </w:pPr>
            <w:r>
              <w:rPr>
                <w:rFonts w:hint="eastAsia"/>
              </w:rPr>
              <w:t>深圳中学坪山创新学校</w:t>
            </w:r>
            <w:r>
              <w:rPr>
                <w:rFonts w:hint="eastAsia"/>
                <w:lang w:eastAsia="zh-CN"/>
              </w:rPr>
              <w:t>、</w:t>
            </w:r>
            <w:r>
              <w:rPr>
                <w:rFonts w:hint="eastAsia"/>
                <w:lang w:val="en-US" w:eastAsia="zh-CN"/>
              </w:rPr>
              <w:t>深圳中学数理高中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57" w:type="dxa"/>
            <w:vAlign w:val="center"/>
          </w:tcPr>
          <w:p>
            <w:pPr>
              <w:pStyle w:val="9"/>
            </w:pPr>
            <w:r>
              <w:rPr>
                <w:rFonts w:hint="eastAsia"/>
              </w:rPr>
              <w:t>4</w:t>
            </w:r>
          </w:p>
        </w:tc>
        <w:tc>
          <w:tcPr>
            <w:tcW w:w="1155" w:type="dxa"/>
            <w:vAlign w:val="center"/>
          </w:tcPr>
          <w:p>
            <w:pPr>
              <w:pStyle w:val="9"/>
            </w:pPr>
            <w:r>
              <w:rPr>
                <w:rFonts w:hint="eastAsia"/>
              </w:rPr>
              <w:t>4.1</w:t>
            </w:r>
          </w:p>
        </w:tc>
        <w:tc>
          <w:tcPr>
            <w:tcW w:w="1134" w:type="dxa"/>
            <w:vAlign w:val="center"/>
          </w:tcPr>
          <w:p>
            <w:pPr>
              <w:pStyle w:val="9"/>
            </w:pPr>
            <w:r>
              <w:rPr>
                <w:rFonts w:hint="eastAsia"/>
              </w:rPr>
              <w:t>资金来源</w:t>
            </w:r>
          </w:p>
        </w:tc>
        <w:tc>
          <w:tcPr>
            <w:tcW w:w="5954" w:type="dxa"/>
            <w:vAlign w:val="center"/>
          </w:tcPr>
          <w:p>
            <w:pPr>
              <w:rPr>
                <w:kern w:val="0"/>
              </w:rPr>
            </w:pPr>
            <w:r>
              <w:rPr>
                <w:rFonts w:hint="eastAsia"/>
              </w:rPr>
              <w:t>财政性资金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7" w:type="dxa"/>
            <w:vAlign w:val="center"/>
          </w:tcPr>
          <w:p>
            <w:pPr>
              <w:pStyle w:val="9"/>
            </w:pPr>
            <w:r>
              <w:rPr>
                <w:rFonts w:hint="eastAsia"/>
              </w:rPr>
              <w:t>5</w:t>
            </w:r>
          </w:p>
        </w:tc>
        <w:tc>
          <w:tcPr>
            <w:tcW w:w="1155" w:type="dxa"/>
            <w:vAlign w:val="center"/>
          </w:tcPr>
          <w:p>
            <w:pPr>
              <w:pStyle w:val="9"/>
            </w:pPr>
            <w:r>
              <w:rPr>
                <w:rFonts w:hint="eastAsia"/>
              </w:rPr>
              <w:t>5.1</w:t>
            </w:r>
          </w:p>
        </w:tc>
        <w:tc>
          <w:tcPr>
            <w:tcW w:w="1134" w:type="dxa"/>
            <w:vAlign w:val="center"/>
          </w:tcPr>
          <w:p>
            <w:pPr>
              <w:pStyle w:val="9"/>
            </w:pPr>
            <w:r>
              <w:rPr>
                <w:rFonts w:hint="eastAsia"/>
              </w:rPr>
              <w:t>项目控制预算价</w:t>
            </w:r>
          </w:p>
        </w:tc>
        <w:tc>
          <w:tcPr>
            <w:tcW w:w="5954" w:type="dxa"/>
            <w:vAlign w:val="center"/>
          </w:tcPr>
          <w:p>
            <w:pPr>
              <w:rPr>
                <w:kern w:val="20"/>
              </w:rPr>
            </w:pPr>
            <w:r>
              <w:rPr>
                <w:rFonts w:hint="eastAsia"/>
              </w:rPr>
              <w:t>本项目预算控制价为</w:t>
            </w:r>
            <w:r>
              <w:rPr>
                <w:rFonts w:hint="eastAsia"/>
                <w:lang w:val="en-US" w:eastAsia="zh-CN"/>
              </w:rPr>
              <w:t>人民币</w:t>
            </w:r>
            <w:r>
              <w:rPr>
                <w:rFonts w:hint="eastAsia" w:eastAsia="经典等线简"/>
                <w:b/>
                <w:snapToGrid w:val="0"/>
                <w:color w:val="000000"/>
                <w:kern w:val="0"/>
                <w:sz w:val="28"/>
                <w:szCs w:val="28"/>
                <w:highlight w:val="none"/>
                <w:lang w:val="en-US" w:eastAsia="zh-CN"/>
              </w:rPr>
              <w:t>85000</w:t>
            </w:r>
            <w:r>
              <w:rPr>
                <w:rFonts w:hint="eastAsia"/>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957" w:type="dxa"/>
            <w:vAlign w:val="center"/>
          </w:tcPr>
          <w:p>
            <w:pPr>
              <w:pStyle w:val="9"/>
            </w:pPr>
            <w:r>
              <w:rPr>
                <w:rFonts w:hint="eastAsia"/>
              </w:rPr>
              <w:t>6</w:t>
            </w:r>
          </w:p>
        </w:tc>
        <w:tc>
          <w:tcPr>
            <w:tcW w:w="1155" w:type="dxa"/>
            <w:vAlign w:val="center"/>
          </w:tcPr>
          <w:p>
            <w:pPr>
              <w:pStyle w:val="9"/>
            </w:pPr>
            <w:r>
              <w:rPr>
                <w:rFonts w:hint="eastAsia"/>
              </w:rPr>
              <w:t>6.1</w:t>
            </w:r>
          </w:p>
        </w:tc>
        <w:tc>
          <w:tcPr>
            <w:tcW w:w="1134" w:type="dxa"/>
            <w:vAlign w:val="center"/>
          </w:tcPr>
          <w:p>
            <w:pPr>
              <w:pStyle w:val="9"/>
            </w:pPr>
            <w:r>
              <w:rPr>
                <w:rFonts w:hint="eastAsia"/>
              </w:rPr>
              <w:t>评标办法</w:t>
            </w:r>
          </w:p>
        </w:tc>
        <w:tc>
          <w:tcPr>
            <w:tcW w:w="5954" w:type="dxa"/>
            <w:vAlign w:val="center"/>
          </w:tcPr>
          <w:p>
            <w:pPr>
              <w:pStyle w:val="9"/>
            </w:pPr>
            <w:r>
              <w:rPr>
                <w:rFonts w:hint="eastAsia"/>
              </w:rPr>
              <w:t>1.投标人须下载标书；</w:t>
            </w:r>
          </w:p>
          <w:p>
            <w:pPr>
              <w:pStyle w:val="9"/>
            </w:pPr>
            <w:r>
              <w:rPr>
                <w:rFonts w:hint="eastAsia"/>
              </w:rPr>
              <w:t>2.投标人编写投标书，并将标书和各种资质证书复印件，按规定的时间交本单位指定地点；</w:t>
            </w:r>
          </w:p>
          <w:p>
            <w:pPr>
              <w:pStyle w:val="9"/>
            </w:pPr>
            <w:r>
              <w:rPr>
                <w:rFonts w:hint="eastAsia"/>
              </w:rPr>
              <w:t>3.本单位组成评委会，利用综合评分法对每个投标人现场打分，确定中标单位。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57" w:type="dxa"/>
            <w:vAlign w:val="center"/>
          </w:tcPr>
          <w:p>
            <w:pPr>
              <w:pStyle w:val="9"/>
            </w:pPr>
            <w:r>
              <w:rPr>
                <w:rFonts w:hint="eastAsia"/>
              </w:rPr>
              <w:t>7</w:t>
            </w:r>
          </w:p>
        </w:tc>
        <w:tc>
          <w:tcPr>
            <w:tcW w:w="1155" w:type="dxa"/>
            <w:vAlign w:val="center"/>
          </w:tcPr>
          <w:p>
            <w:pPr>
              <w:pStyle w:val="9"/>
            </w:pPr>
            <w:r>
              <w:rPr>
                <w:rFonts w:hint="eastAsia"/>
              </w:rPr>
              <w:t>7.1</w:t>
            </w:r>
          </w:p>
        </w:tc>
        <w:tc>
          <w:tcPr>
            <w:tcW w:w="1134" w:type="dxa"/>
            <w:vAlign w:val="center"/>
          </w:tcPr>
          <w:p>
            <w:pPr>
              <w:pStyle w:val="9"/>
            </w:pPr>
            <w:r>
              <w:rPr>
                <w:rFonts w:hint="eastAsia"/>
              </w:rPr>
              <w:t>投标人资格要求</w:t>
            </w:r>
          </w:p>
        </w:tc>
        <w:tc>
          <w:tcPr>
            <w:tcW w:w="5954" w:type="dxa"/>
            <w:vAlign w:val="center"/>
          </w:tcPr>
          <w:p>
            <w:pPr>
              <w:pStyle w:val="9"/>
            </w:pPr>
            <w:r>
              <w:rPr>
                <w:rFonts w:hint="eastAsia"/>
              </w:rPr>
              <w:t>1.符合《中华人民共和国政府采购法》第二十二条规定条件（提供《政府采购投标承诺函》）；</w:t>
            </w:r>
          </w:p>
          <w:p>
            <w:pPr>
              <w:pStyle w:val="9"/>
            </w:pPr>
            <w:r>
              <w:rPr>
                <w:rFonts w:hint="eastAsia"/>
              </w:rPr>
              <w:t>2.报名供应商必须具有独立法人资格或其他非法人组织，提供营业执照或行政主管单位颁发的证明文件，复印件并加盖投标人公章；</w:t>
            </w:r>
          </w:p>
          <w:p>
            <w:pPr>
              <w:pStyle w:val="9"/>
            </w:pPr>
            <w:r>
              <w:rPr>
                <w:rFonts w:hint="eastAsia"/>
              </w:rPr>
              <w:t>3.报名供应商必须具有信用中国（网址：https://www.creditchina.gov.cn/）查询截图,须包含以下信息：信息概览、行政处罚、黑名单等,加盖投标人公章；</w:t>
            </w:r>
          </w:p>
          <w:p>
            <w:pPr>
              <w:pStyle w:val="9"/>
            </w:pPr>
            <w:r>
              <w:rPr>
                <w:rFonts w:hint="eastAsia"/>
              </w:rPr>
              <w:t>4.报名供应商必须提供近三年（成立不足三年的可从成立之日起算）无重大违法犯罪及不良信用记录，无行贿犯罪记录，且不处于被禁止参与政府采购活动期限内，需提供书面声明函并加盖投标人公章（格式自拟）；</w:t>
            </w:r>
          </w:p>
          <w:p>
            <w:pPr>
              <w:pStyle w:val="9"/>
            </w:pPr>
            <w:r>
              <w:rPr>
                <w:rFonts w:hint="eastAsia"/>
              </w:rPr>
              <w:t>5.本项目不接受进口产品投标，本项目不接受联合体投标；</w:t>
            </w:r>
          </w:p>
          <w:p>
            <w:pPr>
              <w:pStyle w:val="9"/>
              <w:rPr>
                <w:rFonts w:hint="eastAsia" w:eastAsia="宋体"/>
                <w:lang w:eastAsia="zh-CN"/>
              </w:rPr>
            </w:pPr>
            <w:r>
              <w:rPr>
                <w:color w:val="FF0000"/>
              </w:rPr>
              <w:t>6.</w:t>
            </w:r>
            <w:r>
              <w:rPr>
                <w:rFonts w:hint="eastAsia"/>
                <w:color w:val="FF0000"/>
              </w:rPr>
              <w:t>提供社会消防技术服务信息系统企业信息备案截图</w:t>
            </w:r>
            <w:r>
              <w:rPr>
                <w:rFonts w:hint="eastAsia"/>
                <w:color w:val="FF0000"/>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7" w:type="dxa"/>
            <w:vAlign w:val="center"/>
          </w:tcPr>
          <w:p>
            <w:pPr>
              <w:pStyle w:val="9"/>
            </w:pPr>
            <w:r>
              <w:rPr>
                <w:rFonts w:hint="eastAsia"/>
              </w:rPr>
              <w:t>8</w:t>
            </w:r>
          </w:p>
        </w:tc>
        <w:tc>
          <w:tcPr>
            <w:tcW w:w="1155" w:type="dxa"/>
            <w:vAlign w:val="center"/>
          </w:tcPr>
          <w:p>
            <w:pPr>
              <w:pStyle w:val="9"/>
            </w:pPr>
            <w:r>
              <w:rPr>
                <w:rFonts w:hint="eastAsia"/>
              </w:rPr>
              <w:t>8.1</w:t>
            </w:r>
          </w:p>
        </w:tc>
        <w:tc>
          <w:tcPr>
            <w:tcW w:w="1134" w:type="dxa"/>
            <w:vAlign w:val="center"/>
          </w:tcPr>
          <w:p>
            <w:pPr>
              <w:pStyle w:val="9"/>
            </w:pPr>
            <w:r>
              <w:rPr>
                <w:rFonts w:hint="eastAsia"/>
              </w:rPr>
              <w:t>招标答疑会议</w:t>
            </w:r>
          </w:p>
        </w:tc>
        <w:tc>
          <w:tcPr>
            <w:tcW w:w="5954" w:type="dxa"/>
            <w:vAlign w:val="center"/>
          </w:tcPr>
          <w:p>
            <w:pPr>
              <w:rPr>
                <w:snapToGrid w:val="0"/>
              </w:rPr>
            </w:pPr>
            <w:r>
              <w:rPr>
                <w:rFonts w:hint="eastAsia"/>
              </w:rPr>
              <w:t>不召开答疑会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57" w:type="dxa"/>
            <w:vAlign w:val="center"/>
          </w:tcPr>
          <w:p>
            <w:pPr>
              <w:pStyle w:val="9"/>
            </w:pPr>
            <w:r>
              <w:rPr>
                <w:rFonts w:hint="eastAsia"/>
              </w:rPr>
              <w:t>9</w:t>
            </w:r>
          </w:p>
        </w:tc>
        <w:tc>
          <w:tcPr>
            <w:tcW w:w="1155" w:type="dxa"/>
            <w:vAlign w:val="center"/>
          </w:tcPr>
          <w:p>
            <w:pPr>
              <w:pStyle w:val="9"/>
            </w:pPr>
            <w:r>
              <w:rPr>
                <w:rFonts w:hint="eastAsia"/>
              </w:rPr>
              <w:t>9.1</w:t>
            </w:r>
          </w:p>
        </w:tc>
        <w:tc>
          <w:tcPr>
            <w:tcW w:w="1134" w:type="dxa"/>
            <w:vAlign w:val="center"/>
          </w:tcPr>
          <w:p>
            <w:pPr>
              <w:pStyle w:val="9"/>
            </w:pPr>
            <w:r>
              <w:rPr>
                <w:rFonts w:hint="eastAsia"/>
              </w:rPr>
              <w:t>投标文件份数及内容要求</w:t>
            </w:r>
          </w:p>
        </w:tc>
        <w:tc>
          <w:tcPr>
            <w:tcW w:w="5954" w:type="dxa"/>
            <w:vAlign w:val="center"/>
          </w:tcPr>
          <w:p>
            <w:pPr>
              <w:pStyle w:val="9"/>
            </w:pPr>
            <w:r>
              <w:rPr>
                <w:rFonts w:hint="eastAsia"/>
              </w:rPr>
              <w:t>一、投标文件份数：正本1份、副本4份，并在投标文件的封面注明“正本”或“副本”，用同一封袋密封装订提交。</w:t>
            </w:r>
          </w:p>
          <w:p>
            <w:pPr>
              <w:pStyle w:val="9"/>
            </w:pPr>
            <w:r>
              <w:rPr>
                <w:rFonts w:hint="eastAsia"/>
              </w:rPr>
              <w:t>二、投标须提供的文件</w:t>
            </w:r>
          </w:p>
          <w:p>
            <w:pPr>
              <w:pStyle w:val="9"/>
            </w:pPr>
            <w:r>
              <w:rPr>
                <w:rFonts w:hint="eastAsia"/>
              </w:rPr>
              <w:t>1.企业法定代表人证明书或授权委托书原件（需提供授权人和被授权人双方签名及双方身份证复印件）；</w:t>
            </w:r>
          </w:p>
          <w:p>
            <w:pPr>
              <w:pStyle w:val="9"/>
            </w:pPr>
            <w:r>
              <w:rPr>
                <w:rFonts w:hint="eastAsia"/>
              </w:rPr>
              <w:t>2.企业法人营业执照（副本）复印件（复印件须加盖报名单位公章以备存查，下同）；</w:t>
            </w:r>
          </w:p>
          <w:p>
            <w:pPr>
              <w:pStyle w:val="9"/>
            </w:pPr>
            <w:r>
              <w:rPr>
                <w:rFonts w:hint="eastAsia"/>
              </w:rPr>
              <w:t>3.投标人资质证书及复印件；</w:t>
            </w:r>
          </w:p>
          <w:p>
            <w:pPr>
              <w:pStyle w:val="9"/>
            </w:pPr>
            <w:r>
              <w:rPr>
                <w:rFonts w:hint="eastAsia"/>
              </w:rPr>
              <w:t>4.授权委托人及投标人的公民身份证复印件；</w:t>
            </w:r>
          </w:p>
          <w:p>
            <w:pPr>
              <w:pStyle w:val="9"/>
            </w:pPr>
            <w:r>
              <w:rPr>
                <w:rFonts w:hint="eastAsia"/>
              </w:rPr>
              <w:t>5.对招标方要求进行报价。</w:t>
            </w:r>
          </w:p>
          <w:p>
            <w:pPr>
              <w:pStyle w:val="9"/>
            </w:pPr>
            <w:r>
              <w:rPr>
                <w:rFonts w:hint="eastAsia"/>
              </w:rPr>
              <w:t>三、投标单位有下列情况之一的，其投标将被拒绝或作无效投标处理：</w:t>
            </w:r>
          </w:p>
          <w:p>
            <w:pPr>
              <w:pStyle w:val="9"/>
            </w:pPr>
            <w:r>
              <w:rPr>
                <w:rFonts w:hint="eastAsia"/>
              </w:rPr>
              <w:t>1.未在规定时间内将投标书送达规定地点的。</w:t>
            </w:r>
          </w:p>
          <w:p>
            <w:pPr>
              <w:pStyle w:val="9"/>
            </w:pPr>
            <w:r>
              <w:rPr>
                <w:rFonts w:hint="eastAsia"/>
              </w:rPr>
              <w:t>2.投标书未按规定密封或未按要求加盖公章或投标文件签署不符合要求的。</w:t>
            </w:r>
          </w:p>
          <w:p>
            <w:pPr>
              <w:pStyle w:val="9"/>
            </w:pPr>
            <w:r>
              <w:rPr>
                <w:rFonts w:hint="eastAsia"/>
              </w:rPr>
              <w:t>3.投标文件无法人代表签字或签字无法人代表有效委托的。</w:t>
            </w:r>
          </w:p>
          <w:p>
            <w:pPr>
              <w:pStyle w:val="9"/>
            </w:pPr>
            <w:r>
              <w:rPr>
                <w:rFonts w:hint="eastAsia"/>
              </w:rPr>
              <w:t>4.投标单位不符合投标单位资格要求的。</w:t>
            </w:r>
          </w:p>
          <w:p>
            <w:pPr>
              <w:pStyle w:val="9"/>
            </w:pPr>
            <w:r>
              <w:rPr>
                <w:rFonts w:hint="eastAsia"/>
              </w:rPr>
              <w:t>5.投标单位不符合项目报价要求的。</w:t>
            </w:r>
          </w:p>
          <w:p>
            <w:pPr>
              <w:pStyle w:val="9"/>
            </w:pPr>
            <w:r>
              <w:rPr>
                <w:rFonts w:hint="eastAsia"/>
              </w:rPr>
              <w:t>6.投标文件中提供伪造、虚假材料的。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7" w:type="dxa"/>
            <w:vAlign w:val="center"/>
          </w:tcPr>
          <w:p>
            <w:pPr>
              <w:pStyle w:val="9"/>
            </w:pPr>
            <w:r>
              <w:rPr>
                <w:rFonts w:hint="eastAsia"/>
              </w:rPr>
              <w:t>10</w:t>
            </w:r>
          </w:p>
        </w:tc>
        <w:tc>
          <w:tcPr>
            <w:tcW w:w="1155" w:type="dxa"/>
            <w:vAlign w:val="center"/>
          </w:tcPr>
          <w:p>
            <w:pPr>
              <w:pStyle w:val="9"/>
            </w:pPr>
            <w:r>
              <w:rPr>
                <w:rFonts w:hint="eastAsia"/>
              </w:rPr>
              <w:t>10.1</w:t>
            </w:r>
          </w:p>
        </w:tc>
        <w:tc>
          <w:tcPr>
            <w:tcW w:w="1134" w:type="dxa"/>
            <w:vAlign w:val="center"/>
          </w:tcPr>
          <w:p>
            <w:pPr>
              <w:pStyle w:val="9"/>
            </w:pPr>
            <w:r>
              <w:rPr>
                <w:rFonts w:hint="eastAsia"/>
              </w:rPr>
              <w:t>投标有效期</w:t>
            </w:r>
          </w:p>
        </w:tc>
        <w:tc>
          <w:tcPr>
            <w:tcW w:w="5954" w:type="dxa"/>
            <w:vAlign w:val="center"/>
          </w:tcPr>
          <w:p>
            <w:pPr>
              <w:pStyle w:val="9"/>
            </w:pPr>
            <w:r>
              <w:rPr>
                <w:rFonts w:hint="eastAsia"/>
                <w:lang w:val="en-US" w:eastAsia="zh-CN"/>
              </w:rPr>
              <w:t>5</w:t>
            </w:r>
            <w:r>
              <w:rPr>
                <w:rFonts w:hint="eastAsia"/>
              </w:rPr>
              <w:t>天（日历日）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57" w:type="dxa"/>
            <w:vAlign w:val="center"/>
          </w:tcPr>
          <w:p>
            <w:pPr>
              <w:pStyle w:val="9"/>
            </w:pPr>
            <w:r>
              <w:rPr>
                <w:rFonts w:hint="eastAsia"/>
              </w:rPr>
              <w:t>11</w:t>
            </w:r>
          </w:p>
        </w:tc>
        <w:tc>
          <w:tcPr>
            <w:tcW w:w="1155" w:type="dxa"/>
            <w:vAlign w:val="center"/>
          </w:tcPr>
          <w:p>
            <w:pPr>
              <w:pStyle w:val="9"/>
            </w:pPr>
            <w:r>
              <w:rPr>
                <w:rFonts w:hint="eastAsia"/>
              </w:rPr>
              <w:t>11.1</w:t>
            </w:r>
          </w:p>
        </w:tc>
        <w:tc>
          <w:tcPr>
            <w:tcW w:w="1134" w:type="dxa"/>
            <w:vAlign w:val="center"/>
          </w:tcPr>
          <w:p>
            <w:pPr>
              <w:pStyle w:val="9"/>
            </w:pPr>
            <w:r>
              <w:rPr>
                <w:rFonts w:hint="eastAsia"/>
              </w:rPr>
              <w:t>投标截止时间</w:t>
            </w:r>
          </w:p>
        </w:tc>
        <w:tc>
          <w:tcPr>
            <w:tcW w:w="5954" w:type="dxa"/>
            <w:vAlign w:val="center"/>
          </w:tcPr>
          <w:p>
            <w:pPr>
              <w:pStyle w:val="9"/>
              <w:rPr>
                <w:b w:val="0"/>
                <w:bCs w:val="0"/>
                <w:sz w:val="21"/>
                <w:szCs w:val="21"/>
                <w:highlight w:val="none"/>
              </w:rPr>
            </w:pPr>
            <w:r>
              <w:rPr>
                <w:rFonts w:hint="eastAsia"/>
                <w:b w:val="0"/>
                <w:bCs w:val="0"/>
                <w:snapToGrid w:val="0"/>
                <w:sz w:val="21"/>
                <w:szCs w:val="21"/>
                <w:highlight w:val="none"/>
              </w:rPr>
              <w:t>2024年</w:t>
            </w:r>
            <w:r>
              <w:rPr>
                <w:rFonts w:hint="eastAsia" w:eastAsia="经典等线简"/>
                <w:b w:val="0"/>
                <w:bCs w:val="0"/>
                <w:snapToGrid w:val="0"/>
                <w:color w:val="000000"/>
                <w:kern w:val="0"/>
                <w:sz w:val="21"/>
                <w:szCs w:val="21"/>
                <w:highlight w:val="none"/>
                <w:lang w:val="en-US" w:eastAsia="zh-CN"/>
              </w:rPr>
              <w:t>3</w:t>
            </w:r>
            <w:r>
              <w:rPr>
                <w:rFonts w:hint="eastAsia"/>
                <w:b w:val="0"/>
                <w:bCs w:val="0"/>
                <w:snapToGrid w:val="0"/>
                <w:sz w:val="21"/>
                <w:szCs w:val="21"/>
                <w:highlight w:val="none"/>
              </w:rPr>
              <w:t>月</w:t>
            </w:r>
            <w:r>
              <w:rPr>
                <w:rFonts w:hint="eastAsia" w:eastAsia="经典等线简"/>
                <w:b w:val="0"/>
                <w:bCs w:val="0"/>
                <w:snapToGrid w:val="0"/>
                <w:color w:val="000000"/>
                <w:kern w:val="0"/>
                <w:sz w:val="21"/>
                <w:szCs w:val="21"/>
                <w:highlight w:val="none"/>
                <w:lang w:val="en-US" w:eastAsia="zh-CN"/>
              </w:rPr>
              <w:t>22</w:t>
            </w:r>
            <w:r>
              <w:rPr>
                <w:rFonts w:hint="eastAsia"/>
                <w:b w:val="0"/>
                <w:bCs w:val="0"/>
                <w:snapToGrid w:val="0"/>
                <w:sz w:val="21"/>
                <w:szCs w:val="21"/>
                <w:highlight w:val="none"/>
              </w:rPr>
              <w:t>日下午1</w:t>
            </w:r>
            <w:r>
              <w:rPr>
                <w:rFonts w:hint="eastAsia"/>
                <w:b w:val="0"/>
                <w:bCs w:val="0"/>
                <w:snapToGrid w:val="0"/>
                <w:sz w:val="21"/>
                <w:szCs w:val="21"/>
                <w:highlight w:val="none"/>
                <w:lang w:val="en-US" w:eastAsia="zh-CN"/>
              </w:rPr>
              <w:t>6</w:t>
            </w:r>
            <w:r>
              <w:rPr>
                <w:rFonts w:hint="eastAsia"/>
                <w:b w:val="0"/>
                <w:bCs w:val="0"/>
                <w:snapToGrid w:val="0"/>
                <w:sz w:val="21"/>
                <w:szCs w:val="21"/>
                <w:highlight w:val="none"/>
              </w:rPr>
              <w:t>时</w:t>
            </w:r>
            <w:r>
              <w:rPr>
                <w:rFonts w:hint="eastAsia"/>
                <w:b w:val="0"/>
                <w:bCs w:val="0"/>
                <w:snapToGrid w:val="0"/>
                <w:sz w:val="21"/>
                <w:szCs w:val="21"/>
                <w:highlight w:val="none"/>
                <w:lang w:val="en-US" w:eastAsia="zh-CN"/>
              </w:rPr>
              <w:t>3</w:t>
            </w:r>
            <w:r>
              <w:rPr>
                <w:rFonts w:hint="eastAsia"/>
                <w:b w:val="0"/>
                <w:bCs w:val="0"/>
                <w:snapToGrid w:val="0"/>
                <w:sz w:val="21"/>
                <w:szCs w:val="21"/>
                <w:highlight w:val="none"/>
              </w:rPr>
              <w:t>0分（北京时间）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57" w:type="dxa"/>
            <w:vAlign w:val="center"/>
          </w:tcPr>
          <w:p>
            <w:pPr>
              <w:pStyle w:val="9"/>
            </w:pPr>
            <w:r>
              <w:rPr>
                <w:rFonts w:hint="eastAsia"/>
              </w:rPr>
              <w:t>12</w:t>
            </w:r>
          </w:p>
        </w:tc>
        <w:tc>
          <w:tcPr>
            <w:tcW w:w="1155" w:type="dxa"/>
            <w:vAlign w:val="center"/>
          </w:tcPr>
          <w:p>
            <w:pPr>
              <w:pStyle w:val="9"/>
            </w:pPr>
            <w:r>
              <w:rPr>
                <w:rFonts w:hint="eastAsia"/>
              </w:rPr>
              <w:t>12.1</w:t>
            </w:r>
          </w:p>
        </w:tc>
        <w:tc>
          <w:tcPr>
            <w:tcW w:w="1134" w:type="dxa"/>
            <w:vAlign w:val="center"/>
          </w:tcPr>
          <w:p>
            <w:pPr>
              <w:pStyle w:val="9"/>
            </w:pPr>
            <w:r>
              <w:rPr>
                <w:rFonts w:hint="eastAsia"/>
              </w:rPr>
              <w:t>开标时间</w:t>
            </w:r>
          </w:p>
        </w:tc>
        <w:tc>
          <w:tcPr>
            <w:tcW w:w="5954" w:type="dxa"/>
            <w:vAlign w:val="center"/>
          </w:tcPr>
          <w:p>
            <w:pPr>
              <w:pStyle w:val="9"/>
              <w:rPr>
                <w:b w:val="0"/>
                <w:bCs w:val="0"/>
                <w:sz w:val="21"/>
                <w:szCs w:val="21"/>
                <w:highlight w:val="none"/>
              </w:rPr>
            </w:pPr>
            <w:r>
              <w:rPr>
                <w:rFonts w:hint="eastAsia"/>
                <w:b w:val="0"/>
                <w:bCs w:val="0"/>
                <w:snapToGrid w:val="0"/>
                <w:sz w:val="21"/>
                <w:szCs w:val="21"/>
                <w:highlight w:val="none"/>
              </w:rPr>
              <w:t>2024年</w:t>
            </w:r>
            <w:r>
              <w:rPr>
                <w:rFonts w:hint="eastAsia" w:eastAsia="经典等线简"/>
                <w:b w:val="0"/>
                <w:bCs w:val="0"/>
                <w:snapToGrid w:val="0"/>
                <w:color w:val="000000"/>
                <w:kern w:val="0"/>
                <w:sz w:val="21"/>
                <w:szCs w:val="21"/>
                <w:highlight w:val="none"/>
                <w:lang w:val="en-US" w:eastAsia="zh-CN"/>
              </w:rPr>
              <w:t>3</w:t>
            </w:r>
            <w:r>
              <w:rPr>
                <w:rFonts w:hint="eastAsia"/>
                <w:b w:val="0"/>
                <w:bCs w:val="0"/>
                <w:snapToGrid w:val="0"/>
                <w:sz w:val="21"/>
                <w:szCs w:val="21"/>
                <w:highlight w:val="none"/>
              </w:rPr>
              <w:t>月</w:t>
            </w:r>
            <w:r>
              <w:rPr>
                <w:rFonts w:hint="eastAsia" w:eastAsia="经典等线简"/>
                <w:b w:val="0"/>
                <w:bCs w:val="0"/>
                <w:snapToGrid w:val="0"/>
                <w:color w:val="000000"/>
                <w:kern w:val="0"/>
                <w:sz w:val="21"/>
                <w:szCs w:val="21"/>
                <w:highlight w:val="none"/>
                <w:lang w:val="en-US" w:eastAsia="zh-CN"/>
              </w:rPr>
              <w:t>22</w:t>
            </w:r>
            <w:r>
              <w:rPr>
                <w:rFonts w:hint="eastAsia" w:eastAsia="经典等线简"/>
                <w:b w:val="0"/>
                <w:bCs w:val="0"/>
                <w:snapToGrid w:val="0"/>
                <w:color w:val="000000"/>
                <w:kern w:val="0"/>
                <w:sz w:val="21"/>
                <w:szCs w:val="21"/>
                <w:highlight w:val="none"/>
              </w:rPr>
              <w:t xml:space="preserve"> </w:t>
            </w:r>
            <w:r>
              <w:rPr>
                <w:rFonts w:hint="eastAsia"/>
                <w:b w:val="0"/>
                <w:bCs w:val="0"/>
                <w:snapToGrid w:val="0"/>
                <w:sz w:val="21"/>
                <w:szCs w:val="21"/>
                <w:highlight w:val="none"/>
              </w:rPr>
              <w:t>日下午1</w:t>
            </w:r>
            <w:r>
              <w:rPr>
                <w:rFonts w:hint="eastAsia"/>
                <w:b w:val="0"/>
                <w:bCs w:val="0"/>
                <w:snapToGrid w:val="0"/>
                <w:sz w:val="21"/>
                <w:szCs w:val="21"/>
                <w:highlight w:val="none"/>
                <w:lang w:val="en-US" w:eastAsia="zh-CN"/>
              </w:rPr>
              <w:t>6</w:t>
            </w:r>
            <w:r>
              <w:rPr>
                <w:rFonts w:hint="eastAsia"/>
                <w:b w:val="0"/>
                <w:bCs w:val="0"/>
                <w:snapToGrid w:val="0"/>
                <w:sz w:val="21"/>
                <w:szCs w:val="21"/>
                <w:highlight w:val="none"/>
              </w:rPr>
              <w:t>时</w:t>
            </w:r>
            <w:r>
              <w:rPr>
                <w:rFonts w:hint="eastAsia"/>
                <w:b w:val="0"/>
                <w:bCs w:val="0"/>
                <w:snapToGrid w:val="0"/>
                <w:sz w:val="21"/>
                <w:szCs w:val="21"/>
                <w:highlight w:val="none"/>
                <w:lang w:val="en-US" w:eastAsia="zh-CN"/>
              </w:rPr>
              <w:t>3</w:t>
            </w:r>
            <w:bookmarkStart w:id="1" w:name="_GoBack"/>
            <w:bookmarkEnd w:id="1"/>
            <w:r>
              <w:rPr>
                <w:rFonts w:hint="eastAsia"/>
                <w:b w:val="0"/>
                <w:bCs w:val="0"/>
                <w:snapToGrid w:val="0"/>
                <w:sz w:val="21"/>
                <w:szCs w:val="21"/>
                <w:highlight w:val="none"/>
              </w:rPr>
              <w:t>0分（北京时间）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57" w:type="dxa"/>
            <w:vAlign w:val="center"/>
          </w:tcPr>
          <w:p>
            <w:pPr>
              <w:pStyle w:val="9"/>
            </w:pPr>
            <w:r>
              <w:rPr>
                <w:rFonts w:hint="eastAsia"/>
              </w:rPr>
              <w:t>13</w:t>
            </w:r>
          </w:p>
        </w:tc>
        <w:tc>
          <w:tcPr>
            <w:tcW w:w="1155" w:type="dxa"/>
            <w:vAlign w:val="center"/>
          </w:tcPr>
          <w:p>
            <w:pPr>
              <w:pStyle w:val="9"/>
            </w:pPr>
            <w:r>
              <w:rPr>
                <w:rFonts w:hint="eastAsia"/>
              </w:rPr>
              <w:t>13.1</w:t>
            </w:r>
          </w:p>
        </w:tc>
        <w:tc>
          <w:tcPr>
            <w:tcW w:w="1134" w:type="dxa"/>
            <w:vAlign w:val="center"/>
          </w:tcPr>
          <w:p>
            <w:pPr>
              <w:pStyle w:val="9"/>
            </w:pPr>
            <w:r>
              <w:rPr>
                <w:rFonts w:hint="eastAsia"/>
              </w:rPr>
              <w:t>开标地点</w:t>
            </w:r>
          </w:p>
        </w:tc>
        <w:tc>
          <w:tcPr>
            <w:tcW w:w="5954" w:type="dxa"/>
            <w:vAlign w:val="center"/>
          </w:tcPr>
          <w:p>
            <w:pPr>
              <w:pStyle w:val="9"/>
            </w:pPr>
            <w:r>
              <w:rPr>
                <w:rFonts w:hint="eastAsia"/>
              </w:rPr>
              <w:t>深圳中学坪山创新学校行政楼会议室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57" w:type="dxa"/>
            <w:tcBorders>
              <w:bottom w:val="double" w:color="auto" w:sz="4" w:space="0"/>
            </w:tcBorders>
            <w:vAlign w:val="center"/>
          </w:tcPr>
          <w:p>
            <w:pPr>
              <w:pStyle w:val="9"/>
            </w:pPr>
            <w:r>
              <w:rPr>
                <w:rFonts w:hint="eastAsia"/>
              </w:rPr>
              <w:t>14</w:t>
            </w:r>
          </w:p>
        </w:tc>
        <w:tc>
          <w:tcPr>
            <w:tcW w:w="1155" w:type="dxa"/>
            <w:tcBorders>
              <w:bottom w:val="double" w:color="auto" w:sz="4" w:space="0"/>
            </w:tcBorders>
            <w:vAlign w:val="center"/>
          </w:tcPr>
          <w:p>
            <w:pPr>
              <w:pStyle w:val="9"/>
            </w:pPr>
            <w:r>
              <w:rPr>
                <w:rFonts w:hint="eastAsia"/>
              </w:rPr>
              <w:t>14.1</w:t>
            </w:r>
          </w:p>
        </w:tc>
        <w:tc>
          <w:tcPr>
            <w:tcW w:w="1134" w:type="dxa"/>
            <w:tcBorders>
              <w:bottom w:val="double" w:color="auto" w:sz="4" w:space="0"/>
            </w:tcBorders>
            <w:vAlign w:val="center"/>
          </w:tcPr>
          <w:p>
            <w:pPr>
              <w:pStyle w:val="9"/>
            </w:pPr>
            <w:r>
              <w:rPr>
                <w:rFonts w:hint="eastAsia"/>
              </w:rPr>
              <w:t>招标原则</w:t>
            </w:r>
          </w:p>
        </w:tc>
        <w:tc>
          <w:tcPr>
            <w:tcW w:w="5954" w:type="dxa"/>
            <w:tcBorders>
              <w:bottom w:val="double" w:color="auto" w:sz="4" w:space="0"/>
            </w:tcBorders>
            <w:vAlign w:val="center"/>
          </w:tcPr>
          <w:p>
            <w:pPr>
              <w:pStyle w:val="9"/>
            </w:pPr>
            <w:r>
              <w:rPr>
                <w:rFonts w:hint="eastAsia"/>
              </w:rPr>
              <w:t>1．公平、公开、公正的原则；</w:t>
            </w:r>
          </w:p>
          <w:p>
            <w:pPr>
              <w:pStyle w:val="9"/>
            </w:pPr>
            <w:r>
              <w:rPr>
                <w:rFonts w:hint="eastAsia"/>
              </w:rPr>
              <w:t>2．择优录用的原则；</w:t>
            </w:r>
          </w:p>
          <w:p>
            <w:pPr>
              <w:pStyle w:val="9"/>
            </w:pPr>
            <w:r>
              <w:rPr>
                <w:rFonts w:hint="eastAsia"/>
              </w:rPr>
              <w:t>3．实事求是的原则。</w:t>
            </w:r>
          </w:p>
        </w:tc>
      </w:tr>
    </w:tbl>
    <w:p>
      <w:pPr>
        <w:pStyle w:val="9"/>
      </w:pPr>
    </w:p>
    <w:p>
      <w:pPr>
        <w:pStyle w:val="8"/>
      </w:pPr>
      <w:r>
        <w:br w:type="page"/>
      </w:r>
    </w:p>
    <w:p/>
    <w:p>
      <w:pPr>
        <w:pStyle w:val="14"/>
        <w:bidi w:val="0"/>
      </w:pPr>
      <w:r>
        <w:rPr>
          <w:rFonts w:hint="eastAsia"/>
        </w:rPr>
        <w:t>二、项目需求</w:t>
      </w:r>
    </w:p>
    <w:p>
      <w:r>
        <w:rPr>
          <w:rFonts w:hint="eastAsia"/>
        </w:rPr>
        <w:t>1、招标范围：</w:t>
      </w:r>
    </w:p>
    <w:p>
      <w:r>
        <w:rPr>
          <w:rFonts w:hint="eastAsia"/>
        </w:rPr>
        <w:t>（1）维保区域：</w:t>
      </w:r>
    </w:p>
    <w:p>
      <w:pPr>
        <w:rPr>
          <w:bCs/>
        </w:rPr>
      </w:pPr>
      <w:r>
        <w:rPr>
          <w:rFonts w:hint="eastAsia"/>
        </w:rPr>
        <w:t>深圳中学坪山创新学校</w:t>
      </w:r>
      <w:r>
        <w:rPr>
          <w:rFonts w:hint="eastAsia"/>
          <w:lang w:val="en-US" w:eastAsia="zh-CN"/>
        </w:rPr>
        <w:t>校区内各类</w:t>
      </w:r>
      <w:r>
        <w:rPr>
          <w:rFonts w:hint="eastAsia"/>
          <w:bCs/>
        </w:rPr>
        <w:t>消防</w:t>
      </w:r>
      <w:r>
        <w:rPr>
          <w:rFonts w:hint="eastAsia"/>
          <w:bCs/>
          <w:lang w:val="en-US" w:eastAsia="zh-CN"/>
        </w:rPr>
        <w:t>设施</w:t>
      </w:r>
      <w:r>
        <w:rPr>
          <w:rFonts w:hint="eastAsia"/>
          <w:bCs/>
        </w:rPr>
        <w:t>设备。</w:t>
      </w:r>
    </w:p>
    <w:p>
      <w:r>
        <w:rPr>
          <w:rFonts w:hint="eastAsia"/>
        </w:rPr>
        <w:t>（2）具体的维保项目：</w:t>
      </w:r>
    </w:p>
    <w:p>
      <w:pPr>
        <w:pStyle w:val="37"/>
        <w:numPr>
          <w:ilvl w:val="0"/>
          <w:numId w:val="2"/>
        </w:numPr>
        <w:ind w:firstLineChars="0"/>
      </w:pPr>
      <w:r>
        <w:rPr>
          <w:rFonts w:hint="eastAsia"/>
        </w:rPr>
        <w:t>消防火灾自动报警系统(主要包括火灾报警控制器、消防图文主机、通讯控制柜、感烟探测器、感温探测器、消防模块、手动报警按钮、警铃、消防广播、备用电源等）。</w:t>
      </w:r>
    </w:p>
    <w:p>
      <w:pPr>
        <w:pStyle w:val="37"/>
        <w:numPr>
          <w:ilvl w:val="0"/>
          <w:numId w:val="2"/>
        </w:numPr>
        <w:ind w:firstLineChars="0"/>
      </w:pPr>
      <w:r>
        <w:rPr>
          <w:rFonts w:hint="eastAsia"/>
        </w:rPr>
        <w:t>水喷淋灭火系统（主要包括：水灭火系统控制柜、水灭火系统自动巡检柜、喷淋头、湿式报警阀、水流指示器、压力开关、水泵、管道阀门、管网、水力警铃、消防水炮、末端试水装置等）。</w:t>
      </w:r>
    </w:p>
    <w:p>
      <w:pPr>
        <w:pStyle w:val="37"/>
        <w:numPr>
          <w:ilvl w:val="0"/>
          <w:numId w:val="2"/>
        </w:numPr>
        <w:ind w:firstLineChars="0"/>
      </w:pPr>
      <w:r>
        <w:rPr>
          <w:rFonts w:hint="eastAsia"/>
        </w:rPr>
        <w:t>消火栓灭火系统（主要包括：室内消火栓、室外消火栓、消防水泵、消防水泵巡检柜、水泵接合器、消防水池、浮球阀、屋顶水箱、管道阀门、管网等）。</w:t>
      </w:r>
    </w:p>
    <w:p>
      <w:pPr>
        <w:pStyle w:val="37"/>
        <w:numPr>
          <w:ilvl w:val="0"/>
          <w:numId w:val="2"/>
        </w:numPr>
        <w:ind w:firstLineChars="0"/>
      </w:pPr>
      <w:r>
        <w:rPr>
          <w:rFonts w:hint="eastAsia"/>
        </w:rPr>
        <w:t>防火卷帘门系统（主要包括：卷帘门控制箱、电机、限位器、帘片、按钮盒等）。</w:t>
      </w:r>
    </w:p>
    <w:p>
      <w:pPr>
        <w:pStyle w:val="37"/>
        <w:numPr>
          <w:ilvl w:val="0"/>
          <w:numId w:val="2"/>
        </w:numPr>
        <w:ind w:firstLineChars="0"/>
      </w:pPr>
      <w:r>
        <w:rPr>
          <w:rFonts w:hint="eastAsia"/>
        </w:rPr>
        <w:t>气体灭火系统（主要包括：控制箱主机、灭火气体、管道、阀门、气体喷头等）。</w:t>
      </w:r>
    </w:p>
    <w:p>
      <w:pPr>
        <w:pStyle w:val="37"/>
        <w:numPr>
          <w:ilvl w:val="0"/>
          <w:numId w:val="2"/>
        </w:numPr>
        <w:ind w:firstLineChars="0"/>
      </w:pPr>
      <w:r>
        <w:rPr>
          <w:rFonts w:hint="eastAsia"/>
        </w:rPr>
        <w:t>防排烟系统（主要包括：防排烟阀、防排烟风机、送排风机、电控箱等）。</w:t>
      </w:r>
    </w:p>
    <w:p>
      <w:pPr>
        <w:pStyle w:val="37"/>
        <w:numPr>
          <w:ilvl w:val="0"/>
          <w:numId w:val="2"/>
        </w:numPr>
        <w:ind w:firstLineChars="0"/>
      </w:pPr>
      <w:r>
        <w:rPr>
          <w:rFonts w:hint="eastAsia"/>
        </w:rPr>
        <w:t>消防电梯（主要包括：功能测试等）。</w:t>
      </w:r>
    </w:p>
    <w:p>
      <w:pPr>
        <w:pStyle w:val="37"/>
        <w:numPr>
          <w:ilvl w:val="0"/>
          <w:numId w:val="2"/>
        </w:numPr>
        <w:ind w:firstLineChars="0"/>
      </w:pPr>
      <w:r>
        <w:rPr>
          <w:rFonts w:hint="eastAsia"/>
        </w:rPr>
        <w:t>消防电源（主要包括：通讯线路、功能测试等）。</w:t>
      </w:r>
    </w:p>
    <w:p>
      <w:pPr>
        <w:pStyle w:val="37"/>
        <w:numPr>
          <w:ilvl w:val="0"/>
          <w:numId w:val="2"/>
        </w:numPr>
        <w:ind w:firstLineChars="0"/>
      </w:pPr>
      <w:r>
        <w:rPr>
          <w:rFonts w:hint="eastAsia"/>
        </w:rPr>
        <w:t>二装消防接入（主要包括：消防主机及火灾自动报警系统二装接入、功能测试、CRT更新、程序定期备份等）。</w:t>
      </w:r>
    </w:p>
    <w:p>
      <w:pPr>
        <w:pStyle w:val="37"/>
        <w:numPr>
          <w:ilvl w:val="0"/>
          <w:numId w:val="2"/>
        </w:numPr>
        <w:ind w:firstLineChars="0"/>
      </w:pPr>
      <w:r>
        <w:rPr>
          <w:rFonts w:hint="eastAsia"/>
        </w:rPr>
        <w:t>消防水炮系统</w:t>
      </w:r>
    </w:p>
    <w:p>
      <w:pPr>
        <w:pStyle w:val="8"/>
      </w:pPr>
    </w:p>
    <w:p>
      <w:r>
        <w:rPr>
          <w:rFonts w:hint="eastAsia"/>
        </w:rPr>
        <w:t>2、人员要求：</w:t>
      </w:r>
    </w:p>
    <w:p>
      <w:r>
        <w:rPr>
          <w:rFonts w:hint="eastAsia"/>
        </w:rPr>
        <w:t>（1）参与维保的人员必须具有相应的资质证书；</w:t>
      </w:r>
    </w:p>
    <w:p>
      <w:r>
        <w:rPr>
          <w:rFonts w:hint="eastAsia"/>
        </w:rPr>
        <w:t>（2）无犯罪或其它不良情况记录；</w:t>
      </w:r>
    </w:p>
    <w:p>
      <w:r>
        <w:rPr>
          <w:rFonts w:hint="eastAsia"/>
        </w:rPr>
        <w:t>（3）</w:t>
      </w:r>
      <w:r>
        <w:t>合同履行前员工进场及合同履行过程中，因人员流动或其它原因，需调换或新招员工的，在员工进场之前，需知会招标人，并经招标人确认方可进场作业。</w:t>
      </w:r>
    </w:p>
    <w:p>
      <w:pPr>
        <w:rPr>
          <w:rFonts w:hint="eastAsia"/>
          <w:lang w:val="en-US" w:eastAsia="zh-CN"/>
        </w:rPr>
      </w:pPr>
      <w:r>
        <w:rPr>
          <w:rFonts w:hint="eastAsia"/>
        </w:rPr>
        <w:t>（</w:t>
      </w:r>
      <w:r>
        <w:rPr>
          <w:rFonts w:hint="eastAsia"/>
          <w:lang w:val="en-US" w:eastAsia="zh-CN"/>
        </w:rPr>
        <w:t>4</w:t>
      </w:r>
      <w:r>
        <w:rPr>
          <w:rFonts w:hint="eastAsia"/>
        </w:rPr>
        <w:t>）作业人员穿着统一制服样式。</w:t>
      </w:r>
    </w:p>
    <w:p>
      <w:pPr>
        <w:rPr>
          <w:rFonts w:hint="eastAsia"/>
          <w:lang w:val="en-US" w:eastAsia="zh-CN"/>
        </w:rPr>
      </w:pPr>
    </w:p>
    <w:p>
      <w:r>
        <w:rPr>
          <w:rFonts w:hint="eastAsia"/>
          <w:lang w:val="en-US" w:eastAsia="zh-CN"/>
        </w:rPr>
        <w:t>3</w:t>
      </w:r>
      <w:r>
        <w:rPr>
          <w:rFonts w:hint="eastAsia"/>
        </w:rPr>
        <w:t>、</w:t>
      </w:r>
      <w:r>
        <w:rPr>
          <w:rFonts w:hint="eastAsia"/>
          <w:lang w:val="en-US" w:eastAsia="zh-CN"/>
        </w:rPr>
        <w:t>时间响应</w:t>
      </w:r>
      <w:r>
        <w:rPr>
          <w:rFonts w:hint="eastAsia"/>
        </w:rPr>
        <w:t>要求：</w:t>
      </w:r>
    </w:p>
    <w:p>
      <w:r>
        <w:rPr>
          <w:rFonts w:hint="eastAsia"/>
        </w:rPr>
        <w:t>（1）提供24小时应急处理服务，突发性较大故障</w:t>
      </w:r>
      <w:r>
        <w:rPr>
          <w:rFonts w:hint="eastAsia"/>
          <w:lang w:val="en-US" w:eastAsia="zh-CN"/>
        </w:rPr>
        <w:t>8小时</w:t>
      </w:r>
      <w:r>
        <w:rPr>
          <w:rFonts w:hint="eastAsia"/>
        </w:rPr>
        <w:t>内到达故障现场；一般故障报修后，3天内赶到故障现场，一般故障应该立即排除，严重故障应该在3天内修复。</w:t>
      </w:r>
    </w:p>
    <w:p>
      <w:pPr>
        <w:rPr>
          <w:rFonts w:hint="eastAsia"/>
          <w:lang w:val="en-US" w:eastAsia="zh-CN"/>
        </w:rPr>
      </w:pPr>
    </w:p>
    <w:p>
      <w:r>
        <w:rPr>
          <w:rFonts w:hint="eastAsia"/>
          <w:lang w:val="en-US" w:eastAsia="zh-CN"/>
        </w:rPr>
        <w:t>4、</w:t>
      </w:r>
      <w:r>
        <w:rPr>
          <w:rFonts w:hint="eastAsia"/>
        </w:rPr>
        <w:t>技术标准</w:t>
      </w:r>
    </w:p>
    <w:p>
      <w:r>
        <w:rPr>
          <w:rFonts w:hint="eastAsia"/>
        </w:rPr>
        <w:t>A</w:t>
      </w:r>
      <w:r>
        <w:t>.</w:t>
      </w:r>
      <w:r>
        <w:rPr>
          <w:rFonts w:hint="eastAsia"/>
        </w:rPr>
        <w:t>招标服务要求按照《建筑消防设施检测技术规程》（GA503—2004）执行。</w:t>
      </w:r>
    </w:p>
    <w:p>
      <w:r>
        <w:rPr>
          <w:rFonts w:hint="eastAsia"/>
        </w:rPr>
        <w:t>B</w:t>
      </w:r>
      <w:r>
        <w:t>.</w:t>
      </w:r>
      <w:r>
        <w:rPr>
          <w:rFonts w:hint="eastAsia"/>
        </w:rPr>
        <w:t>技术方案按照《火灾自动报警系统施工及验收规范》（GB50166-2007）、《建筑消防设施检测技术规程》（GA503—2004）执行。</w:t>
      </w:r>
    </w:p>
    <w:p>
      <w:pPr>
        <w:rPr>
          <w:rFonts w:hint="eastAsia"/>
          <w:lang w:val="en-US" w:eastAsia="zh-CN"/>
        </w:rPr>
      </w:pPr>
    </w:p>
    <w:p>
      <w:r>
        <w:rPr>
          <w:rFonts w:hint="eastAsia"/>
          <w:lang w:val="en-US" w:eastAsia="zh-CN"/>
        </w:rPr>
        <w:t>5</w:t>
      </w:r>
      <w:r>
        <w:rPr>
          <w:rFonts w:hint="eastAsia"/>
        </w:rPr>
        <w:t>、质量及作业要求（包括但不限于以下内容）：</w:t>
      </w:r>
    </w:p>
    <w:p>
      <w:r>
        <w:rPr>
          <w:rFonts w:hint="eastAsia"/>
        </w:rPr>
        <w:t>（1）周巡视检查内容，并填写记录表。</w:t>
      </w:r>
    </w:p>
    <w:p>
      <w:pPr>
        <w:ind w:firstLine="420" w:firstLineChars="0"/>
      </w:pPr>
      <w:r>
        <w:rPr>
          <w:rFonts w:hint="eastAsia"/>
        </w:rPr>
        <w:t>1）火灾自动报警系统：火灾报警探测器外观、区域显示器运行状况，CRT图形显示器运行状况，火灾报警控制器运行状况，消防联动控制器外观和运行状况，手动报警按钮外观，火灾警报装置外观，消防控制室工作环境，配置表，CRT更新。</w:t>
      </w:r>
    </w:p>
    <w:p>
      <w:pPr>
        <w:ind w:firstLine="420" w:firstLineChars="0"/>
      </w:pPr>
      <w:r>
        <w:t>2</w:t>
      </w:r>
      <w:r>
        <w:rPr>
          <w:rFonts w:hint="eastAsia"/>
        </w:rPr>
        <w:t>）消防供水设施：消防水池外观，消防水箱外观及配件齐全，消防水泵及控制柜工作状态，稳压泵，增压泵、气压水罐工作状态，水泵结合器外观、标示，管网控制阀门启闭状态，泵房工作环境。</w:t>
      </w:r>
    </w:p>
    <w:p>
      <w:pPr>
        <w:ind w:firstLine="420" w:firstLineChars="0"/>
      </w:pPr>
      <w:r>
        <w:t>3</w:t>
      </w:r>
      <w:r>
        <w:rPr>
          <w:rFonts w:hint="eastAsia"/>
        </w:rPr>
        <w:t>）消火栓灭火系统：室内消火栓外观，消防卷盘外观，室外消火栓外观，消防炮外观，启泵按钮外观。</w:t>
      </w:r>
    </w:p>
    <w:p>
      <w:pPr>
        <w:ind w:firstLine="420" w:firstLineChars="0"/>
      </w:pPr>
      <w:r>
        <w:t>4</w:t>
      </w:r>
      <w:r>
        <w:rPr>
          <w:rFonts w:hint="eastAsia"/>
        </w:rPr>
        <w:t xml:space="preserve">）自动喷水灭火系统：喷头外观，报警阀组外观，末端试水装置压力值、消防水炮工作状态。   </w:t>
      </w:r>
    </w:p>
    <w:p>
      <w:pPr>
        <w:ind w:firstLine="420" w:firstLineChars="0"/>
      </w:pPr>
      <w:r>
        <w:t>5</w:t>
      </w:r>
      <w:r>
        <w:rPr>
          <w:rFonts w:hint="eastAsia"/>
        </w:rPr>
        <w:t>）防排烟系统：挡烟垂壁外观，送风阀外观，送风机工作状态，排烟阀外观，电动排烟窗外观，自然排烟窗外观，排烟机工作状态，送风、排烟机房环境。</w:t>
      </w:r>
    </w:p>
    <w:p>
      <w:pPr>
        <w:ind w:firstLine="420" w:firstLineChars="0"/>
      </w:pPr>
      <w:r>
        <w:rPr>
          <w:rFonts w:hint="eastAsia"/>
        </w:rPr>
        <w:t>6）应急广播系统：扬声器外观，扩音机工作状态。</w:t>
      </w:r>
    </w:p>
    <w:p>
      <w:pPr>
        <w:ind w:firstLine="420" w:firstLineChars="0"/>
      </w:pPr>
      <w:r>
        <w:rPr>
          <w:rFonts w:hint="eastAsia"/>
        </w:rPr>
        <w:t>7）消防专用电话：分机电话外观，插孔电话外观。</w:t>
      </w:r>
    </w:p>
    <w:p>
      <w:pPr>
        <w:ind w:firstLine="420" w:firstLineChars="0"/>
      </w:pPr>
      <w:r>
        <w:rPr>
          <w:rFonts w:hint="eastAsia"/>
        </w:rPr>
        <w:t>8）防火分隔设施：防火门外观，防火门启闭状况，防火卷帘外观，防火卷帘工作状况。</w:t>
      </w:r>
    </w:p>
    <w:p>
      <w:pPr>
        <w:ind w:firstLine="420" w:firstLineChars="0"/>
      </w:pPr>
      <w:r>
        <w:rPr>
          <w:rFonts w:hint="eastAsia"/>
        </w:rPr>
        <w:t>9）消防电梯：紧急按钮外观，轿箱内电话外观，消防电梯工作状态。</w:t>
      </w:r>
    </w:p>
    <w:p>
      <w:r>
        <w:rPr>
          <w:rFonts w:hint="eastAsia"/>
        </w:rPr>
        <w:t>（</w:t>
      </w:r>
      <w:r>
        <w:t>2</w:t>
      </w:r>
      <w:r>
        <w:rPr>
          <w:rFonts w:hint="eastAsia"/>
        </w:rPr>
        <w:t>）每月进行一次常规检查，并填写记录表</w:t>
      </w:r>
    </w:p>
    <w:p>
      <w:pPr>
        <w:ind w:firstLine="420" w:firstLineChars="0"/>
      </w:pPr>
      <w:r>
        <w:rPr>
          <w:rFonts w:hint="eastAsia"/>
        </w:rPr>
        <w:t>1）消防供配电设施：消防用电设备电源末级配电箱处主、备电切换功能。</w:t>
      </w:r>
    </w:p>
    <w:p>
      <w:pPr>
        <w:ind w:firstLine="420" w:firstLineChars="0"/>
      </w:pPr>
      <w:r>
        <w:t>2</w:t>
      </w:r>
      <w:r>
        <w:rPr>
          <w:rFonts w:hint="eastAsia"/>
        </w:rPr>
        <w:t>）火灾自动报警系统：警报装置的警报功能，火灾报警探测器、手动报警按钮、火灾报警控制器、CRT图形显示器、火灾显示盘的报警显示功能，消防联动控制设备的联动控制功能和显示。其中火灾报警探测器和手动报警按钮的报警功能的检查数量不少于总数</w:t>
      </w:r>
      <w:r>
        <w:t>10</w:t>
      </w:r>
      <w:r>
        <w:rPr>
          <w:rFonts w:hint="eastAsia"/>
        </w:rPr>
        <w:t>%。</w:t>
      </w:r>
    </w:p>
    <w:p>
      <w:pPr>
        <w:ind w:firstLine="420" w:firstLineChars="0"/>
      </w:pPr>
      <w:r>
        <w:t>3</w:t>
      </w:r>
      <w:r>
        <w:rPr>
          <w:rFonts w:hint="eastAsia"/>
        </w:rPr>
        <w:t>）消防供水设施：消防水池、消防水箱，增压设施压力工况，消防水泵及水泵控制柜的启泵和主备泵切换功能，管道阀门启闭功能。</w:t>
      </w:r>
    </w:p>
    <w:p>
      <w:pPr>
        <w:ind w:firstLine="420" w:firstLineChars="0"/>
      </w:pPr>
      <w:r>
        <w:t>4</w:t>
      </w:r>
      <w:r>
        <w:rPr>
          <w:rFonts w:hint="eastAsia"/>
        </w:rPr>
        <w:t>）消火栓灭火系统：室内消火栓出水及压力，消火栓启泵按钮，系统功能。检查数量不少于总数量</w:t>
      </w:r>
      <w:r>
        <w:t>10</w:t>
      </w:r>
      <w:r>
        <w:rPr>
          <w:rFonts w:hint="eastAsia"/>
        </w:rPr>
        <w:t>%。</w:t>
      </w:r>
    </w:p>
    <w:p>
      <w:pPr>
        <w:ind w:firstLine="420" w:firstLineChars="0"/>
      </w:pPr>
      <w:r>
        <w:t>5</w:t>
      </w:r>
      <w:r>
        <w:rPr>
          <w:rFonts w:hint="eastAsia"/>
        </w:rPr>
        <w:t>）自动喷水灭火系统：报警阀组放水、末端试水装置放水。其中末端试水装置放水检查数量不少于总数量</w:t>
      </w:r>
      <w:r>
        <w:t>10</w:t>
      </w:r>
      <w:r>
        <w:rPr>
          <w:rFonts w:hint="eastAsia"/>
        </w:rPr>
        <w:t>%。</w:t>
      </w:r>
    </w:p>
    <w:p>
      <w:pPr>
        <w:ind w:firstLine="420" w:firstLineChars="0"/>
      </w:pPr>
      <w:r>
        <w:t>6</w:t>
      </w:r>
      <w:r>
        <w:rPr>
          <w:rFonts w:hint="eastAsia"/>
        </w:rPr>
        <w:t>）防烟和排烟设施：机械加压送风机以及系统功能，送风机控制柜；机械排烟风机、排烟阀以及系统功能，排烟风机控制柜；电动排烟窗启、闭。</w:t>
      </w:r>
    </w:p>
    <w:p>
      <w:pPr>
        <w:ind w:firstLine="420" w:firstLineChars="0"/>
      </w:pPr>
      <w:r>
        <w:rPr>
          <w:rFonts w:hint="eastAsia"/>
        </w:rPr>
        <w:t>7）消防电话、应急广播：通话、广播质量应急情况下强制切换功能。</w:t>
      </w:r>
    </w:p>
    <w:p>
      <w:pPr>
        <w:ind w:firstLine="420" w:firstLineChars="0"/>
      </w:pPr>
      <w:r>
        <w:rPr>
          <w:rFonts w:hint="eastAsia"/>
        </w:rPr>
        <w:t>8）防火分隔设施：防火门启闭功能，防火卷帘自动启动和现场手动功能，电动防火门联动功能，电动防火阀的启、闭功能。</w:t>
      </w:r>
    </w:p>
    <w:p>
      <w:r>
        <w:rPr>
          <w:rFonts w:hint="eastAsia"/>
        </w:rPr>
        <w:t>1</w:t>
      </w:r>
      <w:r>
        <w:t>0</w:t>
      </w:r>
      <w:r>
        <w:rPr>
          <w:rFonts w:hint="eastAsia"/>
        </w:rPr>
        <w:t>）消防电梯：首层按钮控制和联动电梯回首层，电梯轿箱内消防电话，电梯井排水设备。</w:t>
      </w:r>
    </w:p>
    <w:p>
      <w:r>
        <w:rPr>
          <w:rFonts w:hint="eastAsia"/>
        </w:rPr>
        <w:t>（</w:t>
      </w:r>
      <w:r>
        <w:t>3</w:t>
      </w:r>
      <w:r>
        <w:rPr>
          <w:rFonts w:hint="eastAsia"/>
        </w:rPr>
        <w:t>）每季进行一次深度检查，并填写记录表</w:t>
      </w:r>
    </w:p>
    <w:p>
      <w:pPr>
        <w:ind w:firstLine="420" w:firstLineChars="0"/>
      </w:pPr>
      <w:r>
        <w:rPr>
          <w:rFonts w:hint="eastAsia"/>
        </w:rPr>
        <w:t>1）消防供电设施供电功能和主备电源切换功能检查，检验供电能力。</w:t>
      </w:r>
    </w:p>
    <w:p>
      <w:pPr>
        <w:ind w:firstLine="420" w:firstLineChars="0"/>
      </w:pPr>
      <w:r>
        <w:t>2</w:t>
      </w:r>
      <w:r>
        <w:rPr>
          <w:rFonts w:hint="eastAsia"/>
        </w:rPr>
        <w:t>）火灾自动报警装置每层、每回路报警系统和联动控制设备的功能试验。每12个月对每只探测器、手动报警按钮检查不少于一次。</w:t>
      </w:r>
    </w:p>
    <w:p>
      <w:pPr>
        <w:ind w:firstLine="420" w:firstLineChars="0"/>
      </w:pPr>
      <w:r>
        <w:t>3</w:t>
      </w:r>
      <w:r>
        <w:rPr>
          <w:rFonts w:hint="eastAsia"/>
        </w:rPr>
        <w:t>）自动喷水灭火系统在末端放水，进行系统功能联动试验，水流指示器报警，压力开关、水力警铃动作。对消防设施上的仪器仪表进行校验；每</w:t>
      </w:r>
      <w:r>
        <w:t>10</w:t>
      </w:r>
      <w:r>
        <w:rPr>
          <w:rFonts w:hint="eastAsia"/>
        </w:rPr>
        <w:t>个月对每个末端放水阀检查不少于一次。</w:t>
      </w:r>
    </w:p>
    <w:p>
      <w:pPr>
        <w:ind w:firstLine="420" w:firstLineChars="0"/>
      </w:pPr>
      <w:r>
        <w:t>4</w:t>
      </w:r>
      <w:r>
        <w:rPr>
          <w:rFonts w:hint="eastAsia"/>
        </w:rPr>
        <w:t>）消防给水系统最不利点消火栓出水，分别用消防水箱和消防水泵供水。每12个月累计对每个消火栓、卷盘、水枪检查不少于一次。</w:t>
      </w:r>
    </w:p>
    <w:p>
      <w:pPr>
        <w:ind w:firstLine="420" w:firstLineChars="0"/>
      </w:pPr>
      <w:r>
        <w:t>5</w:t>
      </w:r>
      <w:r>
        <w:rPr>
          <w:rFonts w:hint="eastAsia"/>
        </w:rPr>
        <w:t>）通过报警联动，检查电梯迫降功能；通过报警联动，检查防火卷帘门及电动防火门的功能；通过报警联动，检查消防广播切换功能；通过报警 联动，检查应急照明、疏散指示标志功能；通过报警联动，检查正压送风或机械排烟系统功能，并测试风速、风压值。</w:t>
      </w:r>
    </w:p>
    <w:p>
      <w:pPr>
        <w:ind w:firstLine="420" w:firstLineChars="0"/>
      </w:pPr>
      <w:r>
        <w:t>6</w:t>
      </w:r>
      <w:r>
        <w:rPr>
          <w:rFonts w:hint="eastAsia"/>
        </w:rPr>
        <w:t>）对每只灭火器选型、压力和有效期检查每12个月不少于1次。</w:t>
      </w:r>
    </w:p>
    <w:p>
      <w:pPr>
        <w:ind w:firstLine="420" w:firstLineChars="0"/>
      </w:pPr>
      <w:r>
        <w:t>7</w:t>
      </w:r>
      <w:r>
        <w:rPr>
          <w:rFonts w:hint="eastAsia"/>
        </w:rPr>
        <w:t>）应急照明灯具、疏散指示牌等联动测试。</w:t>
      </w:r>
    </w:p>
    <w:p>
      <w:r>
        <w:rPr>
          <w:rFonts w:hint="eastAsia"/>
        </w:rPr>
        <w:t>（</w:t>
      </w:r>
      <w:r>
        <w:t>4</w:t>
      </w:r>
      <w:r>
        <w:rPr>
          <w:rFonts w:hint="eastAsia"/>
        </w:rPr>
        <w:t>）年度配合物业、商业进行不少于两次的消防演习，对各系统的全面检测及试验，并就测试情况出具测试报告及整改期限，全面检测及试验内容包括（包括但不限于以下内容）：</w:t>
      </w:r>
    </w:p>
    <w:p>
      <w:pPr>
        <w:ind w:firstLine="420" w:firstLineChars="0"/>
      </w:pPr>
      <w:r>
        <w:rPr>
          <w:rFonts w:hint="eastAsia"/>
        </w:rPr>
        <w:t>1）火灾自动报警系统</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\o\ac(○,1)</w:instrText>
      </w:r>
      <w:r>
        <w:rPr>
          <w:rFonts w:hint="eastAsia" w:ascii="宋体" w:hAnsi="宋体" w:eastAsia="宋体" w:cs="宋体"/>
          <w:sz w:val="24"/>
          <w:szCs w:val="24"/>
        </w:rPr>
        <w:fldChar w:fldCharType="end"/>
      </w:r>
      <w:r>
        <w:rPr>
          <w:rFonts w:hint="eastAsia"/>
        </w:rPr>
        <w:t>火灾自动报警主机的声、光显示和所有外设警示设备功能；</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\o\ac(○,2)</w:instrText>
      </w:r>
      <w:r>
        <w:rPr>
          <w:rFonts w:hint="eastAsia" w:ascii="宋体" w:hAnsi="宋体" w:eastAsia="宋体" w:cs="宋体"/>
          <w:sz w:val="24"/>
          <w:szCs w:val="24"/>
        </w:rPr>
        <w:fldChar w:fldCharType="end"/>
      </w:r>
      <w:r>
        <w:rPr>
          <w:rFonts w:hint="eastAsia"/>
        </w:rPr>
        <w:t>火灾探测器和手动报警按钮的动作及确认灯显示；</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\o\ac(○,3)</w:instrText>
      </w:r>
      <w:r>
        <w:rPr>
          <w:rFonts w:hint="eastAsia" w:ascii="宋体" w:hAnsi="宋体" w:eastAsia="宋体" w:cs="宋体"/>
          <w:sz w:val="24"/>
          <w:szCs w:val="24"/>
        </w:rPr>
        <w:fldChar w:fldCharType="end"/>
      </w:r>
      <w:r>
        <w:rPr>
          <w:rFonts w:hint="eastAsia"/>
        </w:rPr>
        <w:t>自动喷淋系统水流指示器、压力开关等信号设备的反馈情况；</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\o\ac(○,4)</w:instrText>
      </w:r>
      <w:r>
        <w:rPr>
          <w:rFonts w:hint="eastAsia" w:ascii="宋体" w:hAnsi="宋体" w:eastAsia="宋体" w:cs="宋体"/>
          <w:sz w:val="24"/>
          <w:szCs w:val="24"/>
        </w:rPr>
        <w:fldChar w:fldCharType="end"/>
      </w:r>
      <w:r>
        <w:rPr>
          <w:rFonts w:hint="eastAsia"/>
        </w:rPr>
        <w:t>对备用电源供电系统进行三次主电源和备用电源自动切换试验；</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\o\ac(○,5)</w:instrText>
      </w:r>
      <w:r>
        <w:rPr>
          <w:rFonts w:hint="eastAsia" w:ascii="宋体" w:hAnsi="宋体" w:eastAsia="宋体" w:cs="宋体"/>
          <w:sz w:val="24"/>
          <w:szCs w:val="24"/>
        </w:rPr>
        <w:fldChar w:fldCharType="end"/>
      </w:r>
      <w:r>
        <w:rPr>
          <w:rFonts w:hint="eastAsia"/>
        </w:rPr>
        <w:t>室内消火栓系统联动功能测试；</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\o\ac(○,6)</w:instrText>
      </w:r>
      <w:r>
        <w:rPr>
          <w:rFonts w:hint="eastAsia" w:ascii="宋体" w:hAnsi="宋体" w:eastAsia="宋体" w:cs="宋体"/>
          <w:sz w:val="24"/>
          <w:szCs w:val="24"/>
        </w:rPr>
        <w:fldChar w:fldCharType="end"/>
      </w:r>
      <w:r>
        <w:rPr>
          <w:rFonts w:hint="eastAsia"/>
        </w:rPr>
        <w:t>防火卷帘系统联动功能测试；</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\o\ac(○,7)</w:instrText>
      </w:r>
      <w:r>
        <w:rPr>
          <w:rFonts w:hint="eastAsia" w:ascii="宋体" w:hAnsi="宋体" w:eastAsia="宋体" w:cs="宋体"/>
          <w:sz w:val="24"/>
          <w:szCs w:val="24"/>
        </w:rPr>
        <w:fldChar w:fldCharType="end"/>
      </w:r>
      <w:r>
        <w:rPr>
          <w:rFonts w:hint="eastAsia"/>
        </w:rPr>
        <w:t>消防广播系统联动功能测试；</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\o\ac(○,8)</w:instrText>
      </w:r>
      <w:r>
        <w:rPr>
          <w:rFonts w:hint="eastAsia" w:ascii="宋体" w:hAnsi="宋体" w:eastAsia="宋体" w:cs="宋体"/>
          <w:sz w:val="24"/>
          <w:szCs w:val="24"/>
        </w:rPr>
        <w:fldChar w:fldCharType="end"/>
      </w:r>
      <w:r>
        <w:rPr>
          <w:rFonts w:hint="eastAsia"/>
        </w:rPr>
        <w:t>正压送风、机械排烟系统全面功能测试；</w:t>
      </w:r>
    </w:p>
    <w:p>
      <w:pPr>
        <w:ind w:firstLine="420" w:firstLineChars="0"/>
      </w:pPr>
      <w:r>
        <w:t>2</w:t>
      </w:r>
      <w:r>
        <w:rPr>
          <w:rFonts w:hint="eastAsia"/>
        </w:rPr>
        <w:t>）消火栓系统</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\o\ac(○,1)</w:instrText>
      </w:r>
      <w:r>
        <w:rPr>
          <w:rFonts w:hint="eastAsia" w:ascii="宋体" w:hAnsi="宋体" w:eastAsia="宋体" w:cs="宋体"/>
          <w:sz w:val="24"/>
          <w:szCs w:val="24"/>
        </w:rPr>
        <w:fldChar w:fldCharType="end"/>
      </w:r>
      <w:r>
        <w:rPr>
          <w:rFonts w:hint="eastAsia"/>
        </w:rPr>
        <w:t>启动运转消防泵；</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\o\ac(○,2)</w:instrText>
      </w:r>
      <w:r>
        <w:rPr>
          <w:rFonts w:hint="eastAsia" w:ascii="宋体" w:hAnsi="宋体" w:eastAsia="宋体" w:cs="宋体"/>
          <w:sz w:val="24"/>
          <w:szCs w:val="24"/>
        </w:rPr>
        <w:fldChar w:fldCharType="end"/>
      </w:r>
      <w:r>
        <w:rPr>
          <w:rFonts w:hint="eastAsia"/>
        </w:rPr>
        <w:t>主、备泵切换功能；</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\o\ac(○,3)</w:instrText>
      </w:r>
      <w:r>
        <w:rPr>
          <w:rFonts w:hint="eastAsia" w:ascii="宋体" w:hAnsi="宋体" w:eastAsia="宋体" w:cs="宋体"/>
          <w:sz w:val="24"/>
          <w:szCs w:val="24"/>
        </w:rPr>
        <w:fldChar w:fldCharType="end"/>
      </w:r>
      <w:r>
        <w:rPr>
          <w:rFonts w:hint="eastAsia"/>
        </w:rPr>
        <w:t>各阀门的启闭状态；</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\o\ac(○,4)</w:instrText>
      </w:r>
      <w:r>
        <w:rPr>
          <w:rFonts w:hint="eastAsia" w:ascii="宋体" w:hAnsi="宋体" w:eastAsia="宋体" w:cs="宋体"/>
          <w:sz w:val="24"/>
          <w:szCs w:val="24"/>
        </w:rPr>
        <w:fldChar w:fldCharType="end"/>
      </w:r>
      <w:r>
        <w:rPr>
          <w:rFonts w:hint="eastAsia"/>
        </w:rPr>
        <w:t>水泵结合器完好情况；</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\o\ac(○,5)</w:instrText>
      </w:r>
      <w:r>
        <w:rPr>
          <w:rFonts w:hint="eastAsia" w:ascii="宋体" w:hAnsi="宋体" w:eastAsia="宋体" w:cs="宋体"/>
          <w:sz w:val="24"/>
          <w:szCs w:val="24"/>
        </w:rPr>
        <w:fldChar w:fldCharType="end"/>
      </w:r>
      <w:r>
        <w:rPr>
          <w:rFonts w:hint="eastAsia"/>
        </w:rPr>
        <w:t>消防储水量及水质；</w:t>
      </w:r>
    </w:p>
    <w:p>
      <w:pPr>
        <w:ind w:firstLine="420" w:firstLineChars="0"/>
      </w:pPr>
      <w:r>
        <w:t>3</w:t>
      </w:r>
      <w:r>
        <w:rPr>
          <w:rFonts w:hint="eastAsia"/>
        </w:rPr>
        <w:t>）消防广播、消防对讲系统</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\o\ac(○,1)</w:instrText>
      </w:r>
      <w:r>
        <w:rPr>
          <w:rFonts w:hint="eastAsia" w:ascii="宋体" w:hAnsi="宋体" w:eastAsia="宋体" w:cs="宋体"/>
          <w:sz w:val="24"/>
          <w:szCs w:val="24"/>
        </w:rPr>
        <w:fldChar w:fldCharType="end"/>
      </w:r>
      <w:r>
        <w:rPr>
          <w:rFonts w:hint="eastAsia"/>
        </w:rPr>
        <w:t>对楼层进行送话广播；</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\o\ac(○,2)</w:instrText>
      </w:r>
      <w:r>
        <w:rPr>
          <w:rFonts w:hint="eastAsia" w:ascii="宋体" w:hAnsi="宋体" w:eastAsia="宋体" w:cs="宋体"/>
          <w:sz w:val="24"/>
          <w:szCs w:val="24"/>
        </w:rPr>
        <w:fldChar w:fldCharType="end"/>
      </w:r>
      <w:r>
        <w:rPr>
          <w:rFonts w:hint="eastAsia"/>
        </w:rPr>
        <w:t>楼层与控制中心对讲；</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\o\ac(○,3)</w:instrText>
      </w:r>
      <w:r>
        <w:rPr>
          <w:rFonts w:hint="eastAsia" w:ascii="宋体" w:hAnsi="宋体" w:eastAsia="宋体" w:cs="宋体"/>
          <w:sz w:val="24"/>
          <w:szCs w:val="24"/>
        </w:rPr>
        <w:fldChar w:fldCharType="end"/>
      </w:r>
      <w:r>
        <w:rPr>
          <w:rFonts w:hint="eastAsia"/>
        </w:rPr>
        <w:t>机房、水泵房与控制中心对讲；</w:t>
      </w:r>
    </w:p>
    <w:p>
      <w:pPr>
        <w:ind w:firstLine="420" w:firstLineChars="0"/>
      </w:pPr>
      <w:r>
        <w:t>4</w:t>
      </w:r>
      <w:r>
        <w:rPr>
          <w:rFonts w:hint="eastAsia"/>
        </w:rPr>
        <w:t>）应急照明和疏散指示系统</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\o\ac(○,1)</w:instrText>
      </w:r>
      <w:r>
        <w:rPr>
          <w:rFonts w:hint="eastAsia" w:ascii="宋体" w:hAnsi="宋体" w:eastAsia="宋体" w:cs="宋体"/>
          <w:sz w:val="24"/>
          <w:szCs w:val="24"/>
        </w:rPr>
        <w:fldChar w:fldCharType="end"/>
      </w:r>
      <w:r>
        <w:rPr>
          <w:rFonts w:hint="eastAsia"/>
        </w:rPr>
        <w:t>电源切换试验；</w:t>
      </w:r>
    </w:p>
    <w:p>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\o\ac(○,2)</w:instrText>
      </w:r>
      <w:r>
        <w:rPr>
          <w:rFonts w:hint="eastAsia" w:ascii="宋体" w:hAnsi="宋体" w:eastAsia="宋体" w:cs="宋体"/>
          <w:sz w:val="24"/>
          <w:szCs w:val="24"/>
        </w:rPr>
        <w:fldChar w:fldCharType="end"/>
      </w:r>
      <w:r>
        <w:rPr>
          <w:rFonts w:hint="eastAsia"/>
        </w:rPr>
        <w:t>外观完整；</w:t>
      </w:r>
    </w:p>
    <w:p>
      <w:pPr>
        <w:numPr>
          <w:ilvl w:val="0"/>
          <w:numId w:val="3"/>
        </w:numPr>
        <w:ind w:firstLine="420" w:firstLineChars="0"/>
        <w:rPr>
          <w:rFonts w:hint="eastAsia"/>
        </w:rPr>
      </w:pPr>
      <w:r>
        <w:rPr>
          <w:rFonts w:hint="eastAsia"/>
        </w:rPr>
        <w:t>通过报警联动，检查电梯迫降功能</w:t>
      </w:r>
    </w:p>
    <w:p>
      <w:pPr>
        <w:pStyle w:val="8"/>
        <w:numPr>
          <w:ilvl w:val="0"/>
          <w:numId w:val="0"/>
        </w:numPr>
      </w:pPr>
    </w:p>
    <w:p>
      <w:pPr>
        <w:numPr>
          <w:ilvl w:val="0"/>
          <w:numId w:val="4"/>
        </w:numPr>
        <w:rPr>
          <w:rFonts w:hint="eastAsia"/>
        </w:rPr>
      </w:pPr>
      <w:r>
        <w:rPr>
          <w:rFonts w:hint="eastAsia"/>
        </w:rPr>
        <w:t>维保单位免费提供火灾自动报警、联动控制系统、电脑与消防主机接口卡设备配件；</w:t>
      </w:r>
      <w:r>
        <w:t>U</w:t>
      </w:r>
      <w:r>
        <w:rPr>
          <w:rFonts w:hint="eastAsia"/>
        </w:rPr>
        <w:t>PS系统的电池、控制板卡、及其它单件单价100元以下（含100元，以市场价为准，）的零配件及耗材（设备清洁费，设备老化配件更换等范围）。</w:t>
      </w:r>
    </w:p>
    <w:p>
      <w:pPr>
        <w:pStyle w:val="8"/>
        <w:numPr>
          <w:ilvl w:val="0"/>
          <w:numId w:val="0"/>
        </w:numPr>
      </w:pPr>
    </w:p>
    <w:p>
      <w:r>
        <w:rPr>
          <w:rFonts w:hint="eastAsia" w:ascii="宋体" w:hAnsi="宋体" w:cs="宋体"/>
          <w:sz w:val="24"/>
          <w:szCs w:val="24"/>
          <w:lang w:val="en-US" w:eastAsia="zh-CN"/>
        </w:rPr>
        <w:t>7、</w:t>
      </w:r>
      <w:r>
        <w:rPr>
          <w:rFonts w:hint="eastAsia"/>
        </w:rPr>
        <w:t>根据月度运行情况及检查、测试记录，输出系统月度运行报表。</w:t>
      </w:r>
    </w:p>
    <w:p>
      <w:pPr>
        <w:pStyle w:val="8"/>
      </w:pPr>
      <w:r>
        <w:br w:type="page"/>
      </w:r>
    </w:p>
    <w:p>
      <w:pPr>
        <w:pStyle w:val="8"/>
      </w:pPr>
    </w:p>
    <w:p>
      <w:pPr>
        <w:pStyle w:val="4"/>
        <w:bidi w:val="0"/>
      </w:pPr>
      <w:r>
        <w:rPr>
          <w:rFonts w:hint="eastAsia"/>
        </w:rPr>
        <w:t>三、开标和评标</w:t>
      </w:r>
    </w:p>
    <w:p>
      <w:pPr>
        <w:spacing w:line="360" w:lineRule="auto"/>
        <w:rPr>
          <w:snapToGrid w:val="0"/>
          <w:sz w:val="24"/>
          <w:szCs w:val="32"/>
        </w:rPr>
      </w:pPr>
      <w:bookmarkStart w:id="0" w:name="q9"/>
      <w:bookmarkEnd w:id="0"/>
      <w:r>
        <w:rPr>
          <w:rFonts w:hint="eastAsia"/>
          <w:snapToGrid w:val="0"/>
          <w:sz w:val="24"/>
          <w:szCs w:val="32"/>
        </w:rPr>
        <w:t>（一）开标</w:t>
      </w:r>
    </w:p>
    <w:p>
      <w:pPr>
        <w:spacing w:line="360" w:lineRule="auto"/>
        <w:rPr>
          <w:snapToGrid w:val="0"/>
          <w:sz w:val="24"/>
          <w:szCs w:val="32"/>
        </w:rPr>
      </w:pPr>
      <w:r>
        <w:rPr>
          <w:rFonts w:hint="eastAsia"/>
          <w:snapToGrid w:val="0"/>
          <w:sz w:val="24"/>
          <w:szCs w:val="32"/>
        </w:rPr>
        <w:t>1.招标人在前附表第12、13项规定的时间和地点公开开标。</w:t>
      </w:r>
    </w:p>
    <w:p>
      <w:pPr>
        <w:spacing w:line="360" w:lineRule="auto"/>
        <w:rPr>
          <w:snapToGrid w:val="0"/>
          <w:sz w:val="24"/>
          <w:szCs w:val="32"/>
        </w:rPr>
      </w:pPr>
      <w:r>
        <w:rPr>
          <w:rFonts w:hint="eastAsia"/>
          <w:snapToGrid w:val="0"/>
          <w:sz w:val="24"/>
          <w:szCs w:val="32"/>
        </w:rPr>
        <w:t>2.开标时，招标人将检查投标文件的密封情况，在确认无误后拆封评标。</w:t>
      </w:r>
    </w:p>
    <w:p>
      <w:pPr>
        <w:pStyle w:val="23"/>
        <w:numPr>
          <w:ilvl w:val="0"/>
          <w:numId w:val="5"/>
        </w:numPr>
        <w:spacing w:line="360" w:lineRule="auto"/>
        <w:ind w:firstLineChars="0"/>
        <w:rPr>
          <w:snapToGrid w:val="0"/>
          <w:sz w:val="24"/>
          <w:szCs w:val="32"/>
        </w:rPr>
      </w:pPr>
      <w:r>
        <w:rPr>
          <w:rFonts w:hint="eastAsia"/>
          <w:snapToGrid w:val="0"/>
          <w:sz w:val="24"/>
          <w:szCs w:val="32"/>
        </w:rPr>
        <w:t>评标委员会</w:t>
      </w:r>
    </w:p>
    <w:p>
      <w:pPr>
        <w:spacing w:line="360" w:lineRule="auto"/>
        <w:rPr>
          <w:snapToGrid w:val="0"/>
          <w:sz w:val="24"/>
          <w:szCs w:val="32"/>
        </w:rPr>
      </w:pPr>
      <w:r>
        <w:rPr>
          <w:rFonts w:hint="eastAsia"/>
          <w:snapToGrid w:val="0"/>
          <w:sz w:val="24"/>
          <w:szCs w:val="32"/>
        </w:rPr>
        <w:t>1.招标人将根据招标项目的特点组建评标委员会，其成员由采购方评标评委组成。评标委员会对投标文件进行审查、质疑、评估和比较。</w:t>
      </w:r>
    </w:p>
    <w:p>
      <w:pPr>
        <w:spacing w:line="360" w:lineRule="auto"/>
        <w:rPr>
          <w:b/>
          <w:snapToGrid w:val="0"/>
          <w:sz w:val="24"/>
          <w:szCs w:val="32"/>
        </w:rPr>
      </w:pPr>
      <w:r>
        <w:rPr>
          <w:rFonts w:hint="eastAsia"/>
          <w:snapToGrid w:val="0"/>
          <w:sz w:val="24"/>
          <w:szCs w:val="32"/>
        </w:rPr>
        <w:t>2.评标期间，投标人应由法人代表或其授权代表参加询标。</w:t>
      </w:r>
    </w:p>
    <w:p>
      <w:pPr>
        <w:pStyle w:val="23"/>
        <w:numPr>
          <w:ilvl w:val="0"/>
          <w:numId w:val="5"/>
        </w:numPr>
        <w:spacing w:line="360" w:lineRule="auto"/>
        <w:ind w:firstLineChars="0"/>
        <w:rPr>
          <w:snapToGrid w:val="0"/>
          <w:sz w:val="24"/>
          <w:szCs w:val="32"/>
        </w:rPr>
      </w:pPr>
      <w:r>
        <w:rPr>
          <w:rFonts w:hint="eastAsia"/>
          <w:snapToGrid w:val="0"/>
          <w:sz w:val="24"/>
          <w:szCs w:val="32"/>
        </w:rPr>
        <w:t>竞标程序</w:t>
      </w:r>
    </w:p>
    <w:p>
      <w:pPr>
        <w:spacing w:line="360" w:lineRule="auto"/>
        <w:rPr>
          <w:snapToGrid w:val="0"/>
          <w:sz w:val="24"/>
          <w:szCs w:val="32"/>
        </w:rPr>
      </w:pPr>
      <w:r>
        <w:rPr>
          <w:rFonts w:hint="eastAsia"/>
          <w:snapToGrid w:val="0"/>
          <w:sz w:val="24"/>
          <w:szCs w:val="32"/>
        </w:rPr>
        <w:t>1.投标人须自行下载此项目招标书；</w:t>
      </w:r>
    </w:p>
    <w:p>
      <w:pPr>
        <w:spacing w:line="360" w:lineRule="auto"/>
        <w:rPr>
          <w:snapToGrid w:val="0"/>
          <w:sz w:val="24"/>
          <w:szCs w:val="32"/>
        </w:rPr>
      </w:pPr>
      <w:r>
        <w:rPr>
          <w:rFonts w:hint="eastAsia"/>
          <w:snapToGrid w:val="0"/>
          <w:sz w:val="24"/>
          <w:szCs w:val="32"/>
        </w:rPr>
        <w:t>2.投标人编写投标书，并将标书和各种资质证书复印件，按规定的时间交本单位指定地点；</w:t>
      </w:r>
    </w:p>
    <w:p>
      <w:pPr>
        <w:spacing w:line="360" w:lineRule="auto"/>
        <w:rPr>
          <w:snapToGrid w:val="0"/>
          <w:sz w:val="24"/>
          <w:szCs w:val="32"/>
        </w:rPr>
      </w:pPr>
      <w:r>
        <w:rPr>
          <w:rFonts w:hint="eastAsia"/>
          <w:snapToGrid w:val="0"/>
          <w:sz w:val="24"/>
          <w:szCs w:val="32"/>
        </w:rPr>
        <w:t>3.</w:t>
      </w:r>
      <w:r>
        <w:rPr>
          <w:rFonts w:hint="eastAsia"/>
          <w:snapToGrid w:val="0"/>
          <w:sz w:val="24"/>
          <w:szCs w:val="32"/>
          <w:lang w:val="en-US" w:eastAsia="zh-CN"/>
        </w:rPr>
        <w:t>招标单位</w:t>
      </w:r>
      <w:r>
        <w:rPr>
          <w:rFonts w:hint="eastAsia"/>
          <w:snapToGrid w:val="0"/>
          <w:sz w:val="24"/>
          <w:szCs w:val="32"/>
        </w:rPr>
        <w:t>组成评委会，利用综合评分评标法对每个投标人现场打分，并进行排名；</w:t>
      </w:r>
    </w:p>
    <w:p>
      <w:pPr>
        <w:spacing w:line="360" w:lineRule="auto"/>
        <w:rPr>
          <w:sz w:val="24"/>
          <w:szCs w:val="32"/>
        </w:rPr>
      </w:pPr>
      <w:r>
        <w:rPr>
          <w:rFonts w:hint="eastAsia"/>
          <w:snapToGrid w:val="0"/>
          <w:sz w:val="24"/>
          <w:szCs w:val="32"/>
        </w:rPr>
        <w:t>4.评委会将评标结果报</w:t>
      </w:r>
      <w:r>
        <w:rPr>
          <w:rFonts w:hint="eastAsia"/>
          <w:snapToGrid w:val="0"/>
          <w:sz w:val="24"/>
          <w:szCs w:val="32"/>
          <w:lang w:val="en-US" w:eastAsia="zh-CN"/>
        </w:rPr>
        <w:t>招标单位</w:t>
      </w:r>
      <w:r>
        <w:rPr>
          <w:rFonts w:hint="eastAsia"/>
          <w:snapToGrid w:val="0"/>
          <w:sz w:val="24"/>
          <w:szCs w:val="32"/>
        </w:rPr>
        <w:t>领导后确定中</w:t>
      </w:r>
      <w:r>
        <w:rPr>
          <w:rFonts w:hint="eastAsia"/>
          <w:sz w:val="24"/>
          <w:szCs w:val="32"/>
        </w:rPr>
        <w:t>标单位。</w:t>
      </w:r>
    </w:p>
    <w:p>
      <w:pPr>
        <w:spacing w:line="360" w:lineRule="auto"/>
        <w:rPr>
          <w:snapToGrid w:val="0"/>
          <w:sz w:val="24"/>
          <w:szCs w:val="32"/>
        </w:rPr>
      </w:pPr>
      <w:r>
        <w:rPr>
          <w:rFonts w:hint="eastAsia"/>
          <w:snapToGrid w:val="0"/>
          <w:sz w:val="24"/>
          <w:szCs w:val="32"/>
        </w:rPr>
        <w:t>（四）中标通知</w:t>
      </w:r>
    </w:p>
    <w:p>
      <w:pPr>
        <w:spacing w:line="360" w:lineRule="auto"/>
        <w:rPr>
          <w:snapToGrid w:val="0"/>
          <w:sz w:val="24"/>
          <w:szCs w:val="32"/>
        </w:rPr>
      </w:pPr>
      <w:r>
        <w:rPr>
          <w:rFonts w:hint="eastAsia"/>
          <w:snapToGrid w:val="0"/>
          <w:sz w:val="24"/>
          <w:szCs w:val="32"/>
        </w:rPr>
        <w:t>1.定标公示后3日，如无异议由招标人签发《中标通知书》。</w:t>
      </w:r>
    </w:p>
    <w:p>
      <w:pPr>
        <w:spacing w:line="360" w:lineRule="auto"/>
        <w:rPr>
          <w:snapToGrid w:val="0"/>
          <w:sz w:val="24"/>
          <w:szCs w:val="32"/>
        </w:rPr>
      </w:pPr>
      <w:r>
        <w:rPr>
          <w:rFonts w:hint="eastAsia"/>
          <w:snapToGrid w:val="0"/>
          <w:sz w:val="24"/>
          <w:szCs w:val="32"/>
        </w:rPr>
        <w:t>2.《中标通知书》将作为签订合同的重要依据。</w:t>
      </w:r>
    </w:p>
    <w:p>
      <w:pPr>
        <w:spacing w:line="360" w:lineRule="auto"/>
        <w:rPr>
          <w:snapToGrid w:val="0"/>
          <w:sz w:val="24"/>
          <w:szCs w:val="32"/>
        </w:rPr>
      </w:pPr>
      <w:r>
        <w:rPr>
          <w:rFonts w:hint="eastAsia"/>
          <w:snapToGrid w:val="0"/>
          <w:sz w:val="24"/>
          <w:szCs w:val="32"/>
        </w:rPr>
        <w:t>（五）签订合同</w:t>
      </w:r>
    </w:p>
    <w:p>
      <w:pPr>
        <w:spacing w:line="360" w:lineRule="auto"/>
        <w:rPr>
          <w:snapToGrid w:val="0"/>
          <w:sz w:val="24"/>
          <w:szCs w:val="32"/>
        </w:rPr>
      </w:pPr>
      <w:r>
        <w:rPr>
          <w:rFonts w:hint="eastAsia"/>
          <w:snapToGrid w:val="0"/>
          <w:sz w:val="24"/>
          <w:szCs w:val="32"/>
        </w:rPr>
        <w:t>1.中标方应按《中标通知书》或按采购人指定的时间、地点与采购人签订合同。</w:t>
      </w:r>
    </w:p>
    <w:p>
      <w:pPr>
        <w:spacing w:line="360" w:lineRule="auto"/>
        <w:rPr>
          <w:snapToGrid w:val="0"/>
          <w:sz w:val="24"/>
          <w:szCs w:val="32"/>
        </w:rPr>
      </w:pPr>
      <w:r>
        <w:rPr>
          <w:rFonts w:hint="eastAsia"/>
          <w:snapToGrid w:val="0"/>
          <w:sz w:val="24"/>
          <w:szCs w:val="32"/>
        </w:rPr>
        <w:t>2.招标文件、中标方的投标文件及其澄清文件等，均为签订合同的依据。</w:t>
      </w:r>
    </w:p>
    <w:p>
      <w:pPr>
        <w:pStyle w:val="8"/>
        <w:rPr>
          <w:snapToGrid w:val="0"/>
        </w:rPr>
      </w:pPr>
      <w:r>
        <w:rPr>
          <w:snapToGrid w:val="0"/>
        </w:rPr>
        <w:br w:type="page"/>
      </w:r>
    </w:p>
    <w:p/>
    <w:p>
      <w:pPr>
        <w:pStyle w:val="9"/>
        <w:rPr>
          <w:rFonts w:hAnsi="宋体" w:cs="宋体"/>
          <w:snapToGrid w:val="0"/>
          <w:kern w:val="0"/>
          <w:sz w:val="28"/>
          <w:szCs w:val="28"/>
        </w:rPr>
      </w:pPr>
      <w:r>
        <w:rPr>
          <w:rFonts w:hint="eastAsia"/>
        </w:rPr>
        <w:t>四、 评分细则</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422"/>
        <w:gridCol w:w="672"/>
        <w:gridCol w:w="5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9" w:type="pct"/>
            <w:gridSpan w:val="3"/>
          </w:tcPr>
          <w:p>
            <w:r>
              <w:rPr>
                <w:rFonts w:hint="eastAsia"/>
              </w:rPr>
              <w:t>评分项</w:t>
            </w:r>
          </w:p>
        </w:tc>
        <w:tc>
          <w:tcPr>
            <w:tcW w:w="3300" w:type="pct"/>
          </w:tcPr>
          <w:p>
            <w:r>
              <w:rPr>
                <w:rFonts w:hint="eastAsia"/>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9" w:type="pct"/>
            <w:gridSpan w:val="3"/>
          </w:tcPr>
          <w:p>
            <w:r>
              <w:rPr>
                <w:rFonts w:hint="eastAsia"/>
              </w:rPr>
              <w:t>一、价格部分</w:t>
            </w:r>
          </w:p>
        </w:tc>
        <w:tc>
          <w:tcPr>
            <w:tcW w:w="3300" w:type="pct"/>
          </w:tcPr>
          <w:p>
            <w:r>
              <w:rPr>
                <w:rFonts w:hint="eastAsia"/>
                <w:lang w:val="en-US" w:eastAsia="zh-CN"/>
              </w:rPr>
              <w:t>25</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tcPr>
          <w:p>
            <w:r>
              <w:rPr>
                <w:rFonts w:hint="eastAsia"/>
              </w:rPr>
              <w:t>序号</w:t>
            </w:r>
          </w:p>
        </w:tc>
        <w:tc>
          <w:tcPr>
            <w:tcW w:w="834" w:type="pct"/>
          </w:tcPr>
          <w:p>
            <w:r>
              <w:rPr>
                <w:rFonts w:hint="eastAsia"/>
              </w:rPr>
              <w:t>评分因素及要求</w:t>
            </w:r>
          </w:p>
        </w:tc>
        <w:tc>
          <w:tcPr>
            <w:tcW w:w="393" w:type="pct"/>
          </w:tcPr>
          <w:p>
            <w:r>
              <w:rPr>
                <w:rFonts w:hint="eastAsia"/>
              </w:rPr>
              <w:t>权重</w:t>
            </w:r>
          </w:p>
        </w:tc>
        <w:tc>
          <w:tcPr>
            <w:tcW w:w="3300" w:type="pct"/>
          </w:tcPr>
          <w:p>
            <w:r>
              <w:rPr>
                <w:rFonts w:hint="eastAsia"/>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Align w:val="center"/>
          </w:tcPr>
          <w:p>
            <w:pPr>
              <w:rPr>
                <w:color w:val="FF0000"/>
              </w:rPr>
            </w:pPr>
            <w:r>
              <w:rPr>
                <w:rFonts w:hint="eastAsia"/>
              </w:rPr>
              <w:t>1</w:t>
            </w:r>
          </w:p>
        </w:tc>
        <w:tc>
          <w:tcPr>
            <w:tcW w:w="834" w:type="pct"/>
            <w:vAlign w:val="center"/>
          </w:tcPr>
          <w:p>
            <w:r>
              <w:rPr>
                <w:rFonts w:hint="eastAsia"/>
              </w:rPr>
              <w:t>符合招标控制金额范围内</w:t>
            </w:r>
          </w:p>
        </w:tc>
        <w:tc>
          <w:tcPr>
            <w:tcW w:w="393" w:type="pct"/>
            <w:vAlign w:val="center"/>
          </w:tcPr>
          <w:p>
            <w:pPr>
              <w:rPr>
                <w:rFonts w:hint="default"/>
                <w:lang w:val="en-US"/>
              </w:rPr>
            </w:pPr>
            <w:r>
              <w:rPr>
                <w:rFonts w:hint="eastAsia"/>
                <w:lang w:val="en-US" w:eastAsia="zh-CN"/>
              </w:rPr>
              <w:t>25</w:t>
            </w:r>
          </w:p>
        </w:tc>
        <w:tc>
          <w:tcPr>
            <w:tcW w:w="3300" w:type="pct"/>
            <w:vAlign w:val="center"/>
          </w:tcPr>
          <w:p>
            <w:r>
              <w:rPr>
                <w:rFonts w:hint="eastAsia"/>
              </w:rPr>
              <w:t>采用低价优先法计算，即满足招标文件要求且投标价格最低的投标报价为评标基准价，其价格分为满分。其他投标人的价格分统一按照下列公式计算：</w:t>
            </w:r>
          </w:p>
          <w:p>
            <w:r>
              <w:rPr>
                <w:rFonts w:hint="eastAsia"/>
              </w:rPr>
              <w:t>投标报价得分=</w:t>
            </w:r>
            <w:r>
              <w:rPr>
                <w:rFonts w:hint="eastAsia"/>
                <w:lang w:val="zh-CN"/>
              </w:rPr>
              <w:t>（</w:t>
            </w:r>
            <w:r>
              <w:rPr>
                <w:rFonts w:hint="eastAsia"/>
              </w:rPr>
              <w:t>投标基准价/投标报价）*权重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9" w:type="pct"/>
            <w:gridSpan w:val="3"/>
            <w:vAlign w:val="center"/>
          </w:tcPr>
          <w:p>
            <w:r>
              <w:rPr>
                <w:rFonts w:hint="eastAsia"/>
              </w:rPr>
              <w:t>二、商务部分</w:t>
            </w:r>
          </w:p>
        </w:tc>
        <w:tc>
          <w:tcPr>
            <w:tcW w:w="3300" w:type="pct"/>
            <w:vAlign w:val="center"/>
          </w:tcPr>
          <w:p>
            <w:r>
              <w:rPr>
                <w:rFonts w:hint="eastAsia"/>
                <w:lang w:val="en-US" w:eastAsia="zh-CN"/>
              </w:rPr>
              <w:t>40</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tcPr>
          <w:p>
            <w:r>
              <w:rPr>
                <w:rFonts w:hint="eastAsia"/>
              </w:rPr>
              <w:t>序号</w:t>
            </w:r>
          </w:p>
        </w:tc>
        <w:tc>
          <w:tcPr>
            <w:tcW w:w="834" w:type="pct"/>
            <w:vAlign w:val="center"/>
          </w:tcPr>
          <w:p>
            <w:r>
              <w:rPr>
                <w:rFonts w:hint="eastAsia"/>
              </w:rPr>
              <w:t>评分因素及要求</w:t>
            </w:r>
          </w:p>
        </w:tc>
        <w:tc>
          <w:tcPr>
            <w:tcW w:w="393" w:type="pct"/>
            <w:vAlign w:val="center"/>
          </w:tcPr>
          <w:p>
            <w:r>
              <w:rPr>
                <w:rFonts w:hint="eastAsia"/>
              </w:rPr>
              <w:t>权重</w:t>
            </w:r>
          </w:p>
        </w:tc>
        <w:tc>
          <w:tcPr>
            <w:tcW w:w="3300" w:type="pct"/>
            <w:vAlign w:val="center"/>
          </w:tcPr>
          <w:p>
            <w:r>
              <w:rPr>
                <w:rFonts w:hint="eastAsia"/>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Align w:val="center"/>
          </w:tcPr>
          <w:p>
            <w:r>
              <w:rPr>
                <w:rFonts w:hint="eastAsia"/>
              </w:rPr>
              <w:t>1</w:t>
            </w:r>
          </w:p>
        </w:tc>
        <w:tc>
          <w:tcPr>
            <w:tcW w:w="834" w:type="pct"/>
            <w:vAlign w:val="center"/>
          </w:tcPr>
          <w:p>
            <w:r>
              <w:rPr>
                <w:rFonts w:hint="eastAsia"/>
              </w:rPr>
              <w:t>同类项业绩</w:t>
            </w:r>
          </w:p>
        </w:tc>
        <w:tc>
          <w:tcPr>
            <w:tcW w:w="393" w:type="pct"/>
            <w:vAlign w:val="center"/>
          </w:tcPr>
          <w:p>
            <w:pPr>
              <w:rPr>
                <w:rFonts w:hint="eastAsia" w:eastAsia="宋体"/>
                <w:lang w:eastAsia="zh-CN"/>
              </w:rPr>
            </w:pPr>
            <w:r>
              <w:rPr>
                <w:rFonts w:hint="eastAsia"/>
              </w:rPr>
              <w:t>1</w:t>
            </w:r>
            <w:r>
              <w:rPr>
                <w:rFonts w:hint="eastAsia"/>
                <w:lang w:val="en-US" w:eastAsia="zh-CN"/>
              </w:rPr>
              <w:t>5</w:t>
            </w:r>
          </w:p>
        </w:tc>
        <w:tc>
          <w:tcPr>
            <w:tcW w:w="3300" w:type="pct"/>
            <w:vAlign w:val="center"/>
          </w:tcPr>
          <w:p>
            <w:r>
              <w:rPr>
                <w:rFonts w:hint="eastAsia"/>
              </w:rPr>
              <w:t>1.评审标准：</w:t>
            </w:r>
          </w:p>
          <w:p>
            <w:r>
              <w:rPr>
                <w:rFonts w:hint="eastAsia"/>
              </w:rPr>
              <w:t>投标人提供同类项业绩，每提供一个有效业绩得</w:t>
            </w:r>
            <w:r>
              <w:rPr>
                <w:rFonts w:hint="eastAsia"/>
                <w:lang w:val="en-US" w:eastAsia="zh-CN"/>
              </w:rPr>
              <w:t>3</w:t>
            </w:r>
            <w:r>
              <w:rPr>
                <w:rFonts w:hint="eastAsia"/>
              </w:rPr>
              <w:t>分，满分1</w:t>
            </w:r>
            <w:r>
              <w:rPr>
                <w:rFonts w:hint="eastAsia"/>
                <w:lang w:val="en-US" w:eastAsia="zh-CN"/>
              </w:rPr>
              <w:t>5</w:t>
            </w:r>
            <w:r>
              <w:rPr>
                <w:rFonts w:hint="eastAsia"/>
              </w:rPr>
              <w:t>分，未提供不得分。</w:t>
            </w:r>
          </w:p>
          <w:p>
            <w:r>
              <w:rPr>
                <w:rFonts w:hint="eastAsia"/>
              </w:rPr>
              <w:t>2.证明文件</w:t>
            </w:r>
          </w:p>
          <w:p>
            <w:r>
              <w:rPr>
                <w:rFonts w:hint="eastAsia"/>
              </w:rPr>
              <w:t>2</w:t>
            </w:r>
            <w:r>
              <w:t>.1</w:t>
            </w:r>
            <w:r>
              <w:rPr>
                <w:rFonts w:hint="eastAsia"/>
              </w:rPr>
              <w:t>投标人按要求提供同类项目的合同关键页加盖投标人公章，提供不清晰或未按要求提供不得分;</w:t>
            </w:r>
          </w:p>
          <w:p>
            <w:pPr>
              <w:pStyle w:val="8"/>
            </w:pPr>
            <w:r>
              <w:rPr>
                <w:color w:val="FF0000"/>
              </w:rPr>
              <w:t>2.2</w:t>
            </w:r>
            <w:r>
              <w:rPr>
                <w:rFonts w:hint="eastAsia"/>
                <w:color w:val="FF0000"/>
              </w:rPr>
              <w:t>提供履约评价表。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Align w:val="center"/>
          </w:tcPr>
          <w:p>
            <w:pPr>
              <w:rPr>
                <w:rFonts w:hint="eastAsia" w:ascii="Times New Roman" w:hAnsi="Times New Roman" w:eastAsia="宋体" w:cs="Times New Roman"/>
                <w:color w:val="FF0000"/>
                <w:kern w:val="2"/>
                <w:sz w:val="21"/>
                <w:szCs w:val="24"/>
                <w:lang w:val="en-US" w:eastAsia="zh-CN" w:bidi="ar-SA"/>
              </w:rPr>
            </w:pPr>
            <w:r>
              <w:rPr>
                <w:rFonts w:hint="eastAsia"/>
                <w:color w:val="FF0000"/>
              </w:rPr>
              <w:t>2</w:t>
            </w:r>
          </w:p>
        </w:tc>
        <w:tc>
          <w:tcPr>
            <w:tcW w:w="834" w:type="pct"/>
            <w:vAlign w:val="center"/>
          </w:tcPr>
          <w:p>
            <w:pPr>
              <w:rPr>
                <w:rFonts w:hint="eastAsia" w:ascii="Times New Roman" w:hAnsi="Times New Roman" w:eastAsia="宋体" w:cs="Times New Roman"/>
                <w:color w:val="FF0000"/>
                <w:kern w:val="2"/>
                <w:sz w:val="21"/>
                <w:szCs w:val="24"/>
                <w:lang w:val="en-US" w:eastAsia="zh-CN" w:bidi="ar-SA"/>
              </w:rPr>
            </w:pPr>
            <w:r>
              <w:rPr>
                <w:rFonts w:hint="eastAsia"/>
                <w:color w:val="FF0000"/>
              </w:rPr>
              <w:t>项目负责人</w:t>
            </w:r>
          </w:p>
        </w:tc>
        <w:tc>
          <w:tcPr>
            <w:tcW w:w="393" w:type="pct"/>
            <w:vAlign w:val="center"/>
          </w:tcPr>
          <w:p>
            <w:pPr>
              <w:rPr>
                <w:rFonts w:hint="eastAsia" w:ascii="Times New Roman" w:hAnsi="Times New Roman" w:eastAsia="宋体" w:cs="Times New Roman"/>
                <w:color w:val="FF0000"/>
                <w:kern w:val="2"/>
                <w:sz w:val="21"/>
                <w:szCs w:val="24"/>
                <w:lang w:val="en-US" w:eastAsia="zh-CN" w:bidi="ar-SA"/>
              </w:rPr>
            </w:pPr>
            <w:r>
              <w:rPr>
                <w:rFonts w:hint="eastAsia"/>
                <w:color w:val="FF0000"/>
                <w:lang w:val="en-US" w:eastAsia="zh-CN"/>
              </w:rPr>
              <w:t>6</w:t>
            </w:r>
          </w:p>
        </w:tc>
        <w:tc>
          <w:tcPr>
            <w:tcW w:w="3300" w:type="pct"/>
            <w:vAlign w:val="top"/>
          </w:tcPr>
          <w:p>
            <w:pPr>
              <w:rPr>
                <w:rFonts w:hint="default" w:eastAsia="宋体"/>
                <w:color w:val="FF0000"/>
                <w:lang w:val="en-US" w:eastAsia="zh-CN"/>
              </w:rPr>
            </w:pPr>
            <w:r>
              <w:rPr>
                <w:rFonts w:hint="eastAsia"/>
                <w:color w:val="FF0000"/>
                <w:lang w:val="en-US" w:eastAsia="zh-CN"/>
              </w:rPr>
              <w:t>1.评审标准</w:t>
            </w:r>
          </w:p>
          <w:p>
            <w:pPr>
              <w:rPr>
                <w:color w:val="FF0000"/>
              </w:rPr>
            </w:pPr>
            <w:r>
              <w:rPr>
                <w:rFonts w:hint="eastAsia"/>
                <w:color w:val="FF0000"/>
              </w:rPr>
              <w:t>项目负责人须具有：</w:t>
            </w:r>
          </w:p>
          <w:p>
            <w:pPr>
              <w:pStyle w:val="8"/>
              <w:rPr>
                <w:rFonts w:hint="eastAsia" w:eastAsia="宋体"/>
                <w:color w:val="FF0000"/>
                <w:lang w:val="en-US" w:eastAsia="zh-CN"/>
              </w:rPr>
            </w:pPr>
            <w:r>
              <w:rPr>
                <w:rFonts w:hint="eastAsia"/>
                <w:color w:val="FF0000"/>
              </w:rPr>
              <w:t>1</w:t>
            </w:r>
            <w:r>
              <w:rPr>
                <w:color w:val="FF0000"/>
              </w:rPr>
              <w:t>.</w:t>
            </w:r>
            <w:r>
              <w:rPr>
                <w:rFonts w:hint="eastAsia"/>
                <w:color w:val="FF0000"/>
              </w:rPr>
              <w:t>一级消防工程师</w:t>
            </w:r>
            <w:r>
              <w:rPr>
                <w:rFonts w:hint="eastAsia"/>
                <w:color w:val="FF0000"/>
                <w:lang w:val="en-US" w:eastAsia="zh-CN"/>
              </w:rPr>
              <w:t>证</w:t>
            </w:r>
          </w:p>
          <w:p>
            <w:pPr>
              <w:rPr>
                <w:color w:val="FF0000"/>
              </w:rPr>
            </w:pPr>
            <w:r>
              <w:rPr>
                <w:rFonts w:hint="eastAsia"/>
                <w:color w:val="FF0000"/>
              </w:rPr>
              <w:t>2</w:t>
            </w:r>
            <w:r>
              <w:rPr>
                <w:color w:val="FF0000"/>
              </w:rPr>
              <w:t>.</w:t>
            </w:r>
            <w:r>
              <w:rPr>
                <w:rFonts w:hint="eastAsia"/>
                <w:color w:val="FF0000"/>
              </w:rPr>
              <w:t>注册安全工程师（须注册本单位）</w:t>
            </w:r>
          </w:p>
          <w:p>
            <w:pPr>
              <w:pStyle w:val="8"/>
              <w:rPr>
                <w:color w:val="FF0000"/>
              </w:rPr>
            </w:pPr>
            <w:r>
              <w:rPr>
                <w:rFonts w:hint="eastAsia"/>
                <w:color w:val="FF0000"/>
                <w:lang w:val="en-US" w:eastAsia="zh-CN"/>
              </w:rPr>
              <w:t>3</w:t>
            </w:r>
            <w:r>
              <w:rPr>
                <w:color w:val="FF0000"/>
              </w:rPr>
              <w:t>.</w:t>
            </w:r>
            <w:r>
              <w:rPr>
                <w:rFonts w:hint="eastAsia"/>
                <w:color w:val="FF0000"/>
              </w:rPr>
              <w:t>本科以上学历。</w:t>
            </w:r>
          </w:p>
          <w:p>
            <w:pPr>
              <w:pStyle w:val="8"/>
              <w:rPr>
                <w:rFonts w:hint="eastAsia"/>
                <w:color w:val="FF0000"/>
              </w:rPr>
            </w:pPr>
            <w:r>
              <w:rPr>
                <w:rFonts w:hint="eastAsia"/>
                <w:color w:val="FF0000"/>
                <w:lang w:val="en-US" w:eastAsia="zh-CN"/>
              </w:rPr>
              <w:t>每提供一点得2分</w:t>
            </w:r>
            <w:r>
              <w:rPr>
                <w:rFonts w:hint="eastAsia"/>
                <w:color w:val="FF0000"/>
              </w:rPr>
              <w:t>。</w:t>
            </w:r>
          </w:p>
          <w:p>
            <w:pPr>
              <w:rPr>
                <w:rFonts w:hint="eastAsia"/>
              </w:rPr>
            </w:pPr>
            <w:r>
              <w:rPr>
                <w:rFonts w:hint="eastAsia"/>
                <w:lang w:val="en-US" w:eastAsia="zh-CN"/>
              </w:rPr>
              <w:t>2.证明文件</w:t>
            </w:r>
            <w:r>
              <w:rPr>
                <w:rFonts w:hint="eastAsia"/>
              </w:rPr>
              <w:t>：</w:t>
            </w:r>
          </w:p>
          <w:p>
            <w:pPr>
              <w:rPr>
                <w:rFonts w:hint="eastAsia"/>
              </w:rPr>
            </w:pPr>
            <w:r>
              <w:rPr>
                <w:rFonts w:hint="eastAsia"/>
              </w:rPr>
              <w:t>提供近</w:t>
            </w:r>
            <w:r>
              <w:rPr>
                <w:rFonts w:hint="eastAsia"/>
                <w:lang w:val="en-US" w:eastAsia="zh-CN"/>
              </w:rPr>
              <w:t>近三个月本单位</w:t>
            </w:r>
            <w:r>
              <w:rPr>
                <w:rFonts w:hint="eastAsia"/>
              </w:rPr>
              <w:t>社保证明。</w:t>
            </w:r>
          </w:p>
          <w:p>
            <w:pPr>
              <w:rPr>
                <w:rFonts w:hint="eastAsia" w:ascii="Times New Roman" w:hAnsi="Times New Roman" w:eastAsia="宋体" w:cs="Times New Roman"/>
                <w:kern w:val="2"/>
                <w:sz w:val="21"/>
                <w:szCs w:val="24"/>
                <w:lang w:val="en-US" w:eastAsia="zh-CN" w:bidi="ar-SA"/>
              </w:rPr>
            </w:pPr>
            <w:r>
              <w:rPr>
                <w:rFonts w:hint="eastAsia"/>
              </w:rPr>
              <w:t>提供项目负责人相关证明材料的复印件，原件备查。未按要求提供或提供不清晰导致无法有效判断的不得分</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Align w:val="center"/>
          </w:tcPr>
          <w:p>
            <w:pPr>
              <w:rPr>
                <w:rFonts w:hint="eastAsia" w:ascii="Times New Roman" w:hAnsi="Times New Roman" w:eastAsia="宋体" w:cs="Times New Roman"/>
                <w:color w:val="FF0000"/>
                <w:kern w:val="2"/>
                <w:sz w:val="21"/>
                <w:szCs w:val="24"/>
                <w:lang w:val="en-US" w:eastAsia="zh-CN" w:bidi="ar-SA"/>
              </w:rPr>
            </w:pPr>
            <w:r>
              <w:rPr>
                <w:rFonts w:hint="eastAsia"/>
                <w:color w:val="FF0000"/>
              </w:rPr>
              <w:t>3</w:t>
            </w:r>
          </w:p>
        </w:tc>
        <w:tc>
          <w:tcPr>
            <w:tcW w:w="834" w:type="pct"/>
            <w:vAlign w:val="center"/>
          </w:tcPr>
          <w:p>
            <w:pPr>
              <w:rPr>
                <w:rFonts w:hint="eastAsia" w:ascii="Times New Roman" w:hAnsi="Times New Roman" w:eastAsia="宋体" w:cs="Times New Roman"/>
                <w:color w:val="FF0000"/>
                <w:kern w:val="2"/>
                <w:sz w:val="21"/>
                <w:szCs w:val="24"/>
                <w:lang w:val="en-US" w:eastAsia="zh-CN" w:bidi="ar-SA"/>
              </w:rPr>
            </w:pPr>
            <w:r>
              <w:rPr>
                <w:rFonts w:hint="eastAsia"/>
                <w:color w:val="FF0000"/>
              </w:rPr>
              <w:t>其它团队成员</w:t>
            </w:r>
          </w:p>
        </w:tc>
        <w:tc>
          <w:tcPr>
            <w:tcW w:w="393" w:type="pct"/>
            <w:vAlign w:val="center"/>
          </w:tcPr>
          <w:p>
            <w:pPr>
              <w:rPr>
                <w:rFonts w:hint="default" w:ascii="Times New Roman" w:hAnsi="Times New Roman" w:eastAsia="宋体" w:cs="Times New Roman"/>
                <w:color w:val="FF0000"/>
                <w:kern w:val="2"/>
                <w:sz w:val="21"/>
                <w:szCs w:val="24"/>
                <w:lang w:val="en-US" w:eastAsia="zh-CN" w:bidi="ar-SA"/>
              </w:rPr>
            </w:pPr>
            <w:r>
              <w:rPr>
                <w:rFonts w:hint="eastAsia"/>
                <w:color w:val="FF0000"/>
                <w:lang w:val="en-US" w:eastAsia="zh-CN"/>
              </w:rPr>
              <w:t>10</w:t>
            </w:r>
          </w:p>
        </w:tc>
        <w:tc>
          <w:tcPr>
            <w:tcW w:w="3300" w:type="pct"/>
            <w:vAlign w:val="top"/>
          </w:tcPr>
          <w:p>
            <w:pPr>
              <w:rPr>
                <w:rFonts w:hint="eastAsia" w:eastAsia="宋体"/>
                <w:lang w:val="en-US" w:eastAsia="zh-CN"/>
              </w:rPr>
            </w:pPr>
            <w:r>
              <w:rPr>
                <w:rFonts w:hint="eastAsia"/>
                <w:lang w:val="en-US" w:eastAsia="zh-CN"/>
              </w:rPr>
              <w:t>1.</w:t>
            </w:r>
            <w:r>
              <w:rPr>
                <w:rFonts w:hint="eastAsia"/>
              </w:rPr>
              <w:t>评分</w:t>
            </w:r>
            <w:r>
              <w:rPr>
                <w:rFonts w:hint="eastAsia"/>
                <w:lang w:val="en-US" w:eastAsia="zh-CN"/>
              </w:rPr>
              <w:t>标准</w:t>
            </w:r>
          </w:p>
          <w:p>
            <w:pPr>
              <w:rPr>
                <w:rFonts w:hint="default"/>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其他人员</w:t>
            </w:r>
            <w:r>
              <w:rPr>
                <w:rFonts w:hint="eastAsia"/>
              </w:rPr>
              <w:t>具有消防设施操作员</w:t>
            </w:r>
            <w:r>
              <w:rPr>
                <w:rFonts w:hint="eastAsia"/>
                <w:lang w:val="en-US" w:eastAsia="zh-CN"/>
              </w:rPr>
              <w:t>及</w:t>
            </w:r>
            <w:r>
              <w:rPr>
                <w:rFonts w:hint="eastAsia"/>
              </w:rPr>
              <w:t>低压电工作业证的，</w:t>
            </w:r>
            <w:r>
              <w:rPr>
                <w:rFonts w:hint="eastAsia"/>
                <w:lang w:val="en-US" w:eastAsia="zh-CN"/>
              </w:rPr>
              <w:t>每提供1个得1分，最多得6分。</w:t>
            </w:r>
          </w:p>
          <w:p>
            <w:pPr>
              <w:rPr>
                <w:rFonts w:hint="default"/>
                <w:lang w:val="en-US" w:eastAsia="zh-CN"/>
              </w:rPr>
            </w:pPr>
            <w:r>
              <w:rPr>
                <w:rFonts w:hint="eastAsia"/>
                <w:lang w:val="en-US" w:eastAsia="zh-CN"/>
              </w:rPr>
              <w:t>（2）其他人员具有消防工程师证的，每提供1个得2分，最多得4分。</w:t>
            </w:r>
          </w:p>
          <w:p>
            <w:pPr>
              <w:rPr>
                <w:rFonts w:hint="eastAsia"/>
              </w:rPr>
            </w:pPr>
            <w:r>
              <w:rPr>
                <w:rFonts w:hint="eastAsia"/>
                <w:lang w:val="en-US" w:eastAsia="zh-CN"/>
              </w:rPr>
              <w:t>2.证明文件</w:t>
            </w:r>
            <w:r>
              <w:rPr>
                <w:rFonts w:hint="eastAsia"/>
              </w:rPr>
              <w:t>：</w:t>
            </w:r>
          </w:p>
          <w:p>
            <w:pPr>
              <w:rPr>
                <w:rFonts w:hint="eastAsia"/>
              </w:rPr>
            </w:pPr>
            <w:r>
              <w:rPr>
                <w:rFonts w:hint="eastAsia"/>
              </w:rPr>
              <w:t>提供近</w:t>
            </w:r>
            <w:r>
              <w:rPr>
                <w:rFonts w:hint="eastAsia"/>
                <w:lang w:val="en-US" w:eastAsia="zh-CN"/>
              </w:rPr>
              <w:t>近三个月本单位</w:t>
            </w:r>
            <w:r>
              <w:rPr>
                <w:rFonts w:hint="eastAsia"/>
              </w:rPr>
              <w:t>社保证明。</w:t>
            </w:r>
          </w:p>
          <w:p>
            <w:pPr>
              <w:rPr>
                <w:rFonts w:hint="eastAsia" w:ascii="Times New Roman" w:hAnsi="Times New Roman" w:eastAsia="宋体" w:cs="Times New Roman"/>
                <w:color w:val="FF0000"/>
                <w:kern w:val="2"/>
                <w:sz w:val="21"/>
                <w:szCs w:val="24"/>
                <w:lang w:val="en-US" w:eastAsia="zh-CN" w:bidi="ar-SA"/>
              </w:rPr>
            </w:pPr>
            <w:r>
              <w:rPr>
                <w:rFonts w:hint="eastAsia"/>
              </w:rPr>
              <w:t>提供项</w:t>
            </w:r>
            <w:r>
              <w:rPr>
                <w:rFonts w:hint="eastAsia"/>
                <w:lang w:val="en-US" w:eastAsia="zh-CN"/>
              </w:rPr>
              <w:t>人员</w:t>
            </w:r>
            <w:r>
              <w:rPr>
                <w:rFonts w:hint="eastAsia"/>
              </w:rPr>
              <w:t>相关证明材料的复印件，原件备查。未按要求提供或提供不清晰导致无法有效判断的不得分</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Align w:val="center"/>
          </w:tcPr>
          <w:p>
            <w:pPr>
              <w:rPr>
                <w:rFonts w:hint="eastAsia" w:eastAsia="宋体"/>
                <w:color w:val="FF0000"/>
                <w:lang w:val="en-US" w:eastAsia="zh-CN"/>
              </w:rPr>
            </w:pPr>
            <w:r>
              <w:rPr>
                <w:rFonts w:hint="eastAsia"/>
                <w:color w:val="FF0000"/>
                <w:lang w:val="en-US" w:eastAsia="zh-CN"/>
              </w:rPr>
              <w:t>4</w:t>
            </w:r>
          </w:p>
        </w:tc>
        <w:tc>
          <w:tcPr>
            <w:tcW w:w="834" w:type="pct"/>
            <w:vAlign w:val="center"/>
          </w:tcPr>
          <w:p>
            <w:pPr>
              <w:rPr>
                <w:rFonts w:hint="default" w:eastAsia="宋体"/>
                <w:color w:val="FF0000"/>
                <w:lang w:val="en-US" w:eastAsia="zh-CN"/>
              </w:rPr>
            </w:pPr>
            <w:r>
              <w:rPr>
                <w:rFonts w:hint="eastAsia"/>
                <w:color w:val="FF0000"/>
                <w:lang w:val="en-US" w:eastAsia="zh-CN"/>
              </w:rPr>
              <w:t>投标人资格证书</w:t>
            </w:r>
          </w:p>
        </w:tc>
        <w:tc>
          <w:tcPr>
            <w:tcW w:w="393" w:type="pct"/>
            <w:vAlign w:val="center"/>
          </w:tcPr>
          <w:p>
            <w:pPr>
              <w:rPr>
                <w:rFonts w:hint="eastAsia" w:eastAsia="宋体"/>
                <w:color w:val="FF0000"/>
                <w:lang w:val="en-US" w:eastAsia="zh-CN"/>
              </w:rPr>
            </w:pPr>
            <w:r>
              <w:rPr>
                <w:rFonts w:hint="eastAsia"/>
                <w:color w:val="FF0000"/>
                <w:lang w:val="en-US" w:eastAsia="zh-CN"/>
              </w:rPr>
              <w:t>5</w:t>
            </w:r>
          </w:p>
        </w:tc>
        <w:tc>
          <w:tcPr>
            <w:tcW w:w="3300" w:type="pct"/>
          </w:tcPr>
          <w:p>
            <w:pPr>
              <w:numPr>
                <w:ilvl w:val="0"/>
                <w:numId w:val="6"/>
              </w:numPr>
              <w:rPr>
                <w:rFonts w:hint="eastAsia"/>
                <w:lang w:val="zh-CN"/>
              </w:rPr>
            </w:pPr>
            <w:r>
              <w:rPr>
                <w:rFonts w:hint="eastAsia"/>
                <w:lang w:val="zh-CN"/>
              </w:rPr>
              <w:t>评审标准：</w:t>
            </w:r>
          </w:p>
          <w:p>
            <w:pPr>
              <w:rPr>
                <w:rFonts w:hint="default" w:eastAsia="宋体"/>
                <w:lang w:val="en-US" w:eastAsia="zh-CN"/>
              </w:rPr>
            </w:pPr>
            <w:r>
              <w:rPr>
                <w:rFonts w:hint="eastAsia"/>
                <w:color w:val="FF0000"/>
                <w:lang w:val="en-US" w:eastAsia="zh-CN"/>
              </w:rPr>
              <w:t>投标人具备</w:t>
            </w:r>
            <w:r>
              <w:rPr>
                <w:rFonts w:hint="eastAsia"/>
                <w:color w:val="FF0000"/>
              </w:rPr>
              <w:t>消防设施工程专业承包二级及以上资质证书</w:t>
            </w:r>
            <w:r>
              <w:rPr>
                <w:rFonts w:hint="eastAsia"/>
                <w:color w:val="FF0000"/>
                <w:lang w:val="en-US" w:eastAsia="zh-CN"/>
              </w:rPr>
              <w:t>得2分，具备</w:t>
            </w:r>
            <w:r>
              <w:rPr>
                <w:rFonts w:hint="eastAsia"/>
                <w:color w:val="FF0000"/>
              </w:rPr>
              <w:t>消防设施工程专业承包二级及以上资质证书</w:t>
            </w:r>
            <w:r>
              <w:rPr>
                <w:rFonts w:hint="eastAsia"/>
                <w:color w:val="FF0000"/>
                <w:lang w:val="en-US" w:eastAsia="zh-CN"/>
              </w:rPr>
              <w:t>得5分。</w:t>
            </w:r>
          </w:p>
          <w:p>
            <w:pPr>
              <w:rPr>
                <w:lang w:val="zh-CN"/>
              </w:rPr>
            </w:pPr>
            <w:r>
              <w:rPr>
                <w:rFonts w:hint="eastAsia"/>
                <w:lang w:val="zh-CN"/>
              </w:rPr>
              <w:t>2</w:t>
            </w:r>
            <w:r>
              <w:rPr>
                <w:rFonts w:hint="eastAsia"/>
              </w:rPr>
              <w:t>.</w:t>
            </w:r>
            <w:r>
              <w:rPr>
                <w:rFonts w:hint="eastAsia"/>
                <w:lang w:val="zh-CN"/>
              </w:rPr>
              <w:t>证明文件：</w:t>
            </w:r>
          </w:p>
          <w:p>
            <w:pPr>
              <w:rPr>
                <w:rFonts w:hint="eastAsia"/>
              </w:rPr>
            </w:pPr>
            <w:r>
              <w:rPr>
                <w:rFonts w:hint="eastAsia"/>
                <w:color w:val="FF0000"/>
              </w:rPr>
              <w:t>提供有效的证书复印件加盖投标人公章，原件备查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Align w:val="center"/>
          </w:tcPr>
          <w:p>
            <w:pPr>
              <w:rPr>
                <w:rFonts w:hint="eastAsia" w:eastAsia="宋体"/>
                <w:lang w:eastAsia="zh-CN"/>
              </w:rPr>
            </w:pPr>
            <w:r>
              <w:rPr>
                <w:rFonts w:hint="eastAsia"/>
                <w:lang w:val="en-US" w:eastAsia="zh-CN"/>
              </w:rPr>
              <w:t>5</w:t>
            </w:r>
          </w:p>
        </w:tc>
        <w:tc>
          <w:tcPr>
            <w:tcW w:w="834" w:type="pct"/>
            <w:vAlign w:val="center"/>
          </w:tcPr>
          <w:p>
            <w:r>
              <w:rPr>
                <w:rFonts w:hint="eastAsia"/>
              </w:rPr>
              <w:t>诚信承诺</w:t>
            </w:r>
          </w:p>
        </w:tc>
        <w:tc>
          <w:tcPr>
            <w:tcW w:w="393" w:type="pct"/>
            <w:vAlign w:val="center"/>
          </w:tcPr>
          <w:p>
            <w:pPr>
              <w:rPr>
                <w:rFonts w:hint="eastAsia" w:eastAsia="宋体"/>
                <w:lang w:eastAsia="zh-CN"/>
              </w:rPr>
            </w:pPr>
            <w:r>
              <w:rPr>
                <w:rFonts w:hint="eastAsia"/>
                <w:lang w:val="en-US" w:eastAsia="zh-CN"/>
              </w:rPr>
              <w:t>4</w:t>
            </w:r>
          </w:p>
        </w:tc>
        <w:tc>
          <w:tcPr>
            <w:tcW w:w="3300" w:type="pct"/>
          </w:tcPr>
          <w:p>
            <w:pPr>
              <w:rPr>
                <w:lang w:val="zh-CN"/>
              </w:rPr>
            </w:pPr>
            <w:r>
              <w:rPr>
                <w:rFonts w:hint="eastAsia"/>
              </w:rPr>
              <w:t>1.</w:t>
            </w:r>
            <w:r>
              <w:rPr>
                <w:rFonts w:hint="eastAsia"/>
                <w:lang w:val="zh-CN"/>
              </w:rPr>
              <w:t>评审标准：</w:t>
            </w:r>
          </w:p>
          <w:p>
            <w:pPr>
              <w:rPr>
                <w:lang w:val="zh-CN"/>
              </w:rPr>
            </w:pPr>
            <w:r>
              <w:rPr>
                <w:rFonts w:hint="eastAsia"/>
                <w:lang w:val="zh-CN"/>
              </w:rPr>
              <w:t>根据深圳市财政委员会政府采购诚信管理相关规定，对投标人被记录诚信档案的情况进行评审；（对于受过行政处罚供应商，行政处罚期满后，可参与政府采购活动，其诚信分不再扣减。）</w:t>
            </w:r>
          </w:p>
          <w:p>
            <w:pPr>
              <w:rPr>
                <w:lang w:val="zh-CN"/>
              </w:rPr>
            </w:pPr>
            <w:r>
              <w:rPr>
                <w:rFonts w:hint="eastAsia"/>
                <w:lang w:val="zh-CN"/>
              </w:rPr>
              <w:t>2</w:t>
            </w:r>
            <w:r>
              <w:rPr>
                <w:rFonts w:hint="eastAsia"/>
              </w:rPr>
              <w:t>.</w:t>
            </w:r>
            <w:r>
              <w:rPr>
                <w:rFonts w:hint="eastAsia"/>
                <w:lang w:val="zh-CN"/>
              </w:rPr>
              <w:t>证明文件：</w:t>
            </w:r>
          </w:p>
          <w:p>
            <w:r>
              <w:rPr>
                <w:rFonts w:hint="eastAsia"/>
                <w:lang w:val="zh-CN"/>
              </w:rPr>
              <w:t>须提供《诚信承诺函》，如若投标人承诺与实际情况不相符，将按照虚假投标的情况报相关主管部门处理，承诺函应按招标文件格式填写原件加盖投标人公章。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9" w:type="pct"/>
            <w:gridSpan w:val="3"/>
            <w:vAlign w:val="center"/>
          </w:tcPr>
          <w:p>
            <w:r>
              <w:rPr>
                <w:rFonts w:hint="eastAsia"/>
              </w:rPr>
              <w:t>三、技术部分</w:t>
            </w:r>
          </w:p>
        </w:tc>
        <w:tc>
          <w:tcPr>
            <w:tcW w:w="3300" w:type="pct"/>
            <w:vAlign w:val="center"/>
          </w:tcPr>
          <w:p>
            <w:pPr>
              <w:rPr>
                <w:snapToGrid w:val="0"/>
              </w:rPr>
            </w:pPr>
            <w:r>
              <w:rPr>
                <w:rFonts w:hint="eastAsia"/>
                <w:snapToGrid w:val="0"/>
                <w:lang w:val="en-US" w:eastAsia="zh-CN"/>
              </w:rPr>
              <w:t>35</w:t>
            </w:r>
            <w:r>
              <w:rPr>
                <w:rFonts w:hint="eastAsia"/>
                <w:snapToGrid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tcPr>
          <w:p>
            <w:r>
              <w:rPr>
                <w:rFonts w:hint="eastAsia"/>
              </w:rPr>
              <w:t>序号</w:t>
            </w:r>
          </w:p>
        </w:tc>
        <w:tc>
          <w:tcPr>
            <w:tcW w:w="834" w:type="pct"/>
            <w:vAlign w:val="center"/>
          </w:tcPr>
          <w:p>
            <w:pPr>
              <w:rPr>
                <w:snapToGrid w:val="0"/>
                <w:kern w:val="0"/>
              </w:rPr>
            </w:pPr>
            <w:r>
              <w:rPr>
                <w:rFonts w:hint="eastAsia"/>
              </w:rPr>
              <w:t>评分因素及要求</w:t>
            </w:r>
          </w:p>
        </w:tc>
        <w:tc>
          <w:tcPr>
            <w:tcW w:w="393" w:type="pct"/>
            <w:vAlign w:val="center"/>
          </w:tcPr>
          <w:p>
            <w:r>
              <w:rPr>
                <w:rFonts w:hint="eastAsia"/>
              </w:rPr>
              <w:t>权重</w:t>
            </w:r>
          </w:p>
        </w:tc>
        <w:tc>
          <w:tcPr>
            <w:tcW w:w="3300" w:type="pct"/>
          </w:tcPr>
          <w:p>
            <w:pPr>
              <w:rPr>
                <w:snapToGrid w:val="0"/>
                <w:color w:val="000000"/>
                <w:kern w:val="0"/>
              </w:rPr>
            </w:pPr>
            <w:r>
              <w:rPr>
                <w:rFonts w:hint="eastAsia"/>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Align w:val="center"/>
          </w:tcPr>
          <w:p>
            <w:r>
              <w:rPr>
                <w:rFonts w:hint="eastAsia"/>
              </w:rPr>
              <w:t>1</w:t>
            </w:r>
          </w:p>
        </w:tc>
        <w:tc>
          <w:tcPr>
            <w:tcW w:w="834" w:type="pct"/>
            <w:vAlign w:val="center"/>
          </w:tcPr>
          <w:p>
            <w:r>
              <w:rPr>
                <w:rFonts w:hint="eastAsia"/>
              </w:rPr>
              <w:t>现场踏勘及方案</w:t>
            </w:r>
          </w:p>
        </w:tc>
        <w:tc>
          <w:tcPr>
            <w:tcW w:w="393" w:type="pct"/>
            <w:vAlign w:val="center"/>
          </w:tcPr>
          <w:p>
            <w:pPr>
              <w:rPr>
                <w:rFonts w:hint="default" w:eastAsia="宋体"/>
                <w:lang w:val="en-US" w:eastAsia="zh-CN"/>
              </w:rPr>
            </w:pPr>
            <w:r>
              <w:rPr>
                <w:rFonts w:hint="eastAsia"/>
                <w:lang w:val="en-US" w:eastAsia="zh-CN"/>
              </w:rPr>
              <w:t>20</w:t>
            </w:r>
          </w:p>
        </w:tc>
        <w:tc>
          <w:tcPr>
            <w:tcW w:w="3300" w:type="pct"/>
          </w:tcPr>
          <w:p>
            <w:r>
              <w:rPr>
                <w:rFonts w:hint="eastAsia"/>
              </w:rPr>
              <w:t>1.评审标准</w:t>
            </w:r>
          </w:p>
          <w:p>
            <w:r>
              <w:rPr>
                <w:rFonts w:hint="eastAsia"/>
              </w:rPr>
              <w:t>项目涉及安装服务，投标人根据踏勘现场的情况，提供整体消防维护保养方案进行比较，最终以是否满足使用单位功能要求、实用性为判断依据。评审委员会根据响应情况进行比较，按以下分档打分：</w:t>
            </w:r>
          </w:p>
          <w:p>
            <w:r>
              <w:rPr>
                <w:rFonts w:hint="eastAsia"/>
              </w:rPr>
              <w:t>（1）已踏勘现场，维护保养方案完整,合理得</w:t>
            </w:r>
            <w:r>
              <w:rPr>
                <w:rFonts w:hint="eastAsia"/>
                <w:lang w:val="en-US" w:eastAsia="zh-CN"/>
              </w:rPr>
              <w:t>2</w:t>
            </w:r>
            <w:r>
              <w:rPr>
                <w:rFonts w:hint="eastAsia"/>
              </w:rPr>
              <w:t>0分；</w:t>
            </w:r>
          </w:p>
          <w:p>
            <w:r>
              <w:rPr>
                <w:rFonts w:hint="eastAsia"/>
              </w:rPr>
              <w:t>（2）已踏勘现场；维护保养方案完整,基本合理得</w:t>
            </w:r>
            <w:r>
              <w:rPr>
                <w:rFonts w:hint="eastAsia"/>
                <w:lang w:val="en-US" w:eastAsia="zh-CN"/>
              </w:rPr>
              <w:t>15</w:t>
            </w:r>
            <w:r>
              <w:rPr>
                <w:rFonts w:hint="eastAsia"/>
              </w:rPr>
              <w:t>分；</w:t>
            </w:r>
          </w:p>
          <w:p>
            <w:r>
              <w:rPr>
                <w:rFonts w:hint="eastAsia"/>
              </w:rPr>
              <w:t>（3）已踏勘现场；维护保养方案完整,一般得</w:t>
            </w:r>
            <w:r>
              <w:rPr>
                <w:rFonts w:hint="eastAsia"/>
                <w:lang w:val="en-US" w:eastAsia="zh-CN"/>
              </w:rPr>
              <w:t>8</w:t>
            </w:r>
            <w:r>
              <w:rPr>
                <w:rFonts w:hint="eastAsia"/>
              </w:rPr>
              <w:t>分；</w:t>
            </w:r>
          </w:p>
          <w:p>
            <w:r>
              <w:rPr>
                <w:rFonts w:hint="eastAsia"/>
              </w:rPr>
              <w:t>（4）未踏勘现场或</w:t>
            </w:r>
            <w:r>
              <w:rPr>
                <w:rFonts w:hint="eastAsia"/>
                <w:lang w:val="en-US" w:eastAsia="zh-CN"/>
              </w:rPr>
              <w:t>维护保养</w:t>
            </w:r>
            <w:r>
              <w:rPr>
                <w:rFonts w:hint="eastAsia"/>
              </w:rPr>
              <w:t>不合理不得分。</w:t>
            </w:r>
          </w:p>
          <w:p>
            <w:r>
              <w:rPr>
                <w:rFonts w:hint="eastAsia"/>
              </w:rPr>
              <w:t>2.证明文件</w:t>
            </w:r>
          </w:p>
          <w:p>
            <w:pPr>
              <w:rPr>
                <w:snapToGrid w:val="0"/>
                <w:color w:val="000000"/>
                <w:kern w:val="0"/>
              </w:rPr>
            </w:pPr>
            <w:r>
              <w:rPr>
                <w:rFonts w:hint="eastAsia"/>
              </w:rPr>
              <w:t>须提供</w:t>
            </w:r>
            <w:r>
              <w:rPr>
                <w:rFonts w:hint="eastAsia"/>
                <w:lang w:val="en-US" w:eastAsia="zh-CN"/>
              </w:rPr>
              <w:t>现场踏勘图片及维保方案</w:t>
            </w:r>
            <w:r>
              <w:rPr>
                <w:rFonts w:hint="eastAsi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Align w:val="center"/>
          </w:tcPr>
          <w:p>
            <w:pPr>
              <w:rPr>
                <w:rFonts w:hint="eastAsia"/>
              </w:rPr>
            </w:pPr>
            <w:r>
              <w:rPr>
                <w:rFonts w:hint="eastAsia"/>
              </w:rPr>
              <w:t>2</w:t>
            </w:r>
          </w:p>
        </w:tc>
        <w:tc>
          <w:tcPr>
            <w:tcW w:w="834" w:type="pct"/>
            <w:vAlign w:val="center"/>
          </w:tcPr>
          <w:p>
            <w:pPr>
              <w:rPr>
                <w:rFonts w:hint="eastAsia"/>
              </w:rPr>
            </w:pPr>
            <w:r>
              <w:rPr>
                <w:rFonts w:hint="eastAsia" w:ascii="仿宋" w:hAnsi="仿宋" w:eastAsia="仿宋" w:cs="仿宋"/>
                <w:sz w:val="24"/>
              </w:rPr>
              <w:t>人员培训、演练服务</w:t>
            </w:r>
          </w:p>
        </w:tc>
        <w:tc>
          <w:tcPr>
            <w:tcW w:w="393" w:type="pct"/>
            <w:vAlign w:val="center"/>
          </w:tcPr>
          <w:p>
            <w:pPr>
              <w:rPr>
                <w:rFonts w:hint="eastAsia"/>
              </w:rPr>
            </w:pPr>
            <w:r>
              <w:rPr>
                <w:rFonts w:hint="eastAsia"/>
              </w:rPr>
              <w:t>1</w:t>
            </w:r>
            <w:r>
              <w:t>0</w:t>
            </w:r>
          </w:p>
        </w:tc>
        <w:tc>
          <w:tcPr>
            <w:tcW w:w="3300" w:type="pct"/>
          </w:tcPr>
          <w:p>
            <w:pPr>
              <w:rPr>
                <w:rFonts w:hint="eastAsia"/>
              </w:rPr>
            </w:pPr>
            <w:r>
              <w:rPr>
                <w:rFonts w:hint="eastAsia"/>
              </w:rPr>
              <w:t>评审内容：</w:t>
            </w:r>
          </w:p>
          <w:p>
            <w:pPr>
              <w:rPr>
                <w:rFonts w:hint="eastAsia"/>
              </w:rPr>
            </w:pPr>
            <w:r>
              <w:rPr>
                <w:rFonts w:hint="eastAsia"/>
              </w:rPr>
              <w:t>评标委员会根据投标人提供的人员培训、演练服务情况进行横向比较，分档评分：</w:t>
            </w:r>
          </w:p>
          <w:p>
            <w:pPr>
              <w:rPr>
                <w:rFonts w:hint="eastAsia"/>
              </w:rPr>
            </w:pPr>
            <w:r>
              <w:rPr>
                <w:rFonts w:hint="eastAsia"/>
              </w:rPr>
              <w:t>（1）优评分标准：对采购人下属项目单位（部门）消防安全管理人员及消控室值班人员提供每半年一次专业技术指导和培训，培训计划叙述清楚，指导培训教案详尽、合理，；能协助采购人组织每半年一次消防演练工作，消防演练有详细的方案，得6分；</w:t>
            </w:r>
          </w:p>
          <w:p>
            <w:pPr>
              <w:rPr>
                <w:rFonts w:hint="eastAsia"/>
              </w:rPr>
            </w:pPr>
            <w:r>
              <w:rPr>
                <w:rFonts w:hint="eastAsia"/>
              </w:rPr>
              <w:t>（2）良评分标准：对采购人下属项目单位（部门）消防安全管理人员及消控室值班人员提供每年一次专业技术指导和培训，培训计划叙述清楚，指导培训教案详尽、合理；能协助采购人组织每年一次消防演练工作，消防演练都有大体的方案资料，得4分；</w:t>
            </w:r>
          </w:p>
          <w:p>
            <w:pPr>
              <w:rPr>
                <w:rFonts w:hint="eastAsia"/>
              </w:rPr>
            </w:pPr>
            <w:r>
              <w:rPr>
                <w:rFonts w:hint="eastAsia"/>
              </w:rPr>
              <w:t>（3）中评分标准：对采购人下属项目单位（部门）消防安全管理人员及消控室值班人员提供每年一次专业技术指导和培训，培训计划、培训教案不严谨或粗糙简单；能协助采购人组织每年一次消防演练工作，演练方案资料很一般，得2分；</w:t>
            </w:r>
          </w:p>
          <w:p>
            <w:pPr>
              <w:rPr>
                <w:rFonts w:hint="eastAsia"/>
              </w:rPr>
            </w:pPr>
            <w:r>
              <w:rPr>
                <w:rFonts w:hint="eastAsia"/>
              </w:rPr>
              <w:t>（4）差评分标准：未提供对采购人下属项目单位（部门）消防安全管理人员及消控室值班人员每年一次专业技术指导的培训方案；或未提供协助采购人需求项目单位（部门）每年一次消防演练工作的演练方案资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vAlign w:val="center"/>
          </w:tcPr>
          <w:p>
            <w:r>
              <w:rPr>
                <w:rFonts w:hint="eastAsia"/>
              </w:rPr>
              <w:t>3</w:t>
            </w:r>
          </w:p>
        </w:tc>
        <w:tc>
          <w:tcPr>
            <w:tcW w:w="834" w:type="pct"/>
            <w:vAlign w:val="center"/>
          </w:tcPr>
          <w:p>
            <w:r>
              <w:rPr>
                <w:rFonts w:hint="eastAsia"/>
              </w:rPr>
              <w:t>售后服务方案</w:t>
            </w:r>
          </w:p>
        </w:tc>
        <w:tc>
          <w:tcPr>
            <w:tcW w:w="393" w:type="pct"/>
            <w:vAlign w:val="center"/>
          </w:tcPr>
          <w:p>
            <w:r>
              <w:rPr>
                <w:rFonts w:hint="eastAsia"/>
              </w:rPr>
              <w:t>5</w:t>
            </w:r>
          </w:p>
        </w:tc>
        <w:tc>
          <w:tcPr>
            <w:tcW w:w="3300" w:type="pct"/>
          </w:tcPr>
          <w:p>
            <w:pPr>
              <w:rPr>
                <w:lang w:val="zh-CN"/>
              </w:rPr>
            </w:pPr>
            <w:r>
              <w:rPr>
                <w:rFonts w:hint="eastAsia"/>
                <w:lang w:val="zh-CN"/>
              </w:rPr>
              <w:t>1、</w:t>
            </w:r>
            <w:r>
              <w:rPr>
                <w:rFonts w:hint="eastAsia"/>
              </w:rPr>
              <w:t>评审内容</w:t>
            </w:r>
            <w:r>
              <w:rPr>
                <w:rFonts w:hint="eastAsia"/>
                <w:lang w:val="zh-CN"/>
              </w:rPr>
              <w:t>：</w:t>
            </w:r>
          </w:p>
          <w:p>
            <w:r>
              <w:rPr>
                <w:rFonts w:hint="eastAsia"/>
              </w:rPr>
              <w:t>投标人提供售后服务方案，根据投标人方案情况进行横向比较。</w:t>
            </w:r>
          </w:p>
          <w:p>
            <w:pPr>
              <w:rPr>
                <w:lang w:val="zh-CN"/>
              </w:rPr>
            </w:pPr>
            <w:r>
              <w:rPr>
                <w:rFonts w:hint="eastAsia"/>
                <w:lang w:val="zh-CN"/>
              </w:rPr>
              <w:t>2、评</w:t>
            </w:r>
            <w:r>
              <w:rPr>
                <w:rFonts w:hint="eastAsia"/>
              </w:rPr>
              <w:t>分</w:t>
            </w:r>
            <w:r>
              <w:rPr>
                <w:rFonts w:hint="eastAsia"/>
                <w:lang w:val="zh-CN"/>
              </w:rPr>
              <w:t>标准：</w:t>
            </w:r>
          </w:p>
          <w:p>
            <w:pPr>
              <w:rPr>
                <w:snapToGrid w:val="0"/>
                <w:color w:val="000000"/>
                <w:kern w:val="0"/>
              </w:rPr>
            </w:pPr>
            <w:r>
              <w:rPr>
                <w:rFonts w:hint="eastAsia"/>
              </w:rPr>
              <w:t>评审委员会根据投标人响应的情况进行横向比较，方案为优得5分，方案为良得3分，方案为中得1分，方案为差或不提供不得分。</w:t>
            </w:r>
          </w:p>
        </w:tc>
      </w:tr>
    </w:tbl>
    <w:p/>
    <w:p>
      <w:r>
        <w:br w:type="page"/>
      </w:r>
    </w:p>
    <w:p/>
    <w:p>
      <w:pPr>
        <w:jc w:val="center"/>
      </w:pPr>
      <w:r>
        <w:rPr>
          <w:rFonts w:hint="eastAsia"/>
        </w:rPr>
        <w:t>投</w:t>
      </w:r>
      <w:r>
        <w:t xml:space="preserve"> </w:t>
      </w:r>
      <w:r>
        <w:rPr>
          <w:rFonts w:hint="eastAsia"/>
        </w:rPr>
        <w:t>标</w:t>
      </w:r>
      <w:r>
        <w:t xml:space="preserve"> </w:t>
      </w:r>
      <w:r>
        <w:rPr>
          <w:rFonts w:hint="eastAsia"/>
        </w:rPr>
        <w:t>报</w:t>
      </w:r>
      <w:r>
        <w:t xml:space="preserve"> </w:t>
      </w:r>
      <w:r>
        <w:rPr>
          <w:rFonts w:hint="eastAsia"/>
        </w:rPr>
        <w:t>名</w:t>
      </w:r>
      <w:r>
        <w:t xml:space="preserve"> </w:t>
      </w:r>
      <w:r>
        <w:rPr>
          <w:rFonts w:hint="eastAsia"/>
        </w:rPr>
        <w:t>表</w:t>
      </w:r>
    </w:p>
    <w:tbl>
      <w:tblPr>
        <w:tblStyle w:val="17"/>
        <w:tblW w:w="102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0" w:hRule="atLeast"/>
          <w:jc w:val="center"/>
        </w:trPr>
        <w:tc>
          <w:tcPr>
            <w:tcW w:w="10200" w:type="dxa"/>
          </w:tcPr>
          <w:p/>
          <w:tbl>
            <w:tblPr>
              <w:tblStyle w:val="17"/>
              <w:tblW w:w="9993" w:type="dxa"/>
              <w:tblInd w:w="0" w:type="dxa"/>
              <w:tblLayout w:type="fixed"/>
              <w:tblCellMar>
                <w:top w:w="0" w:type="dxa"/>
                <w:left w:w="108" w:type="dxa"/>
                <w:bottom w:w="0" w:type="dxa"/>
                <w:right w:w="108" w:type="dxa"/>
              </w:tblCellMar>
            </w:tblPr>
            <w:tblGrid>
              <w:gridCol w:w="1413"/>
              <w:gridCol w:w="1134"/>
              <w:gridCol w:w="1422"/>
              <w:gridCol w:w="20"/>
              <w:gridCol w:w="1398"/>
              <w:gridCol w:w="137"/>
              <w:gridCol w:w="141"/>
              <w:gridCol w:w="240"/>
              <w:gridCol w:w="266"/>
              <w:gridCol w:w="255"/>
              <w:gridCol w:w="254"/>
              <w:gridCol w:w="255"/>
              <w:gridCol w:w="6"/>
              <w:gridCol w:w="142"/>
              <w:gridCol w:w="107"/>
              <w:gridCol w:w="255"/>
              <w:gridCol w:w="255"/>
              <w:gridCol w:w="254"/>
              <w:gridCol w:w="255"/>
              <w:gridCol w:w="255"/>
              <w:gridCol w:w="255"/>
              <w:gridCol w:w="254"/>
              <w:gridCol w:w="255"/>
              <w:gridCol w:w="255"/>
              <w:gridCol w:w="255"/>
              <w:gridCol w:w="235"/>
              <w:gridCol w:w="20"/>
            </w:tblGrid>
            <w:tr>
              <w:tblPrEx>
                <w:tblCellMar>
                  <w:top w:w="0" w:type="dxa"/>
                  <w:left w:w="108" w:type="dxa"/>
                  <w:bottom w:w="0" w:type="dxa"/>
                  <w:right w:w="108" w:type="dxa"/>
                </w:tblCellMar>
              </w:tblPrEx>
              <w:trPr>
                <w:gridAfter w:val="1"/>
                <w:wAfter w:w="20" w:type="dxa"/>
                <w:trHeight w:val="368" w:hRule="atLeast"/>
              </w:trPr>
              <w:tc>
                <w:tcPr>
                  <w:tcW w:w="3989" w:type="dxa"/>
                  <w:gridSpan w:val="4"/>
                  <w:vAlign w:val="center"/>
                </w:tcPr>
                <w:p>
                  <w:r>
                    <w:rPr>
                      <w:rFonts w:hint="eastAsia"/>
                      <w:shd w:val="pct10" w:color="auto" w:fill="FFFFFF"/>
                    </w:rPr>
                    <w:t>Ⅰ</w:t>
                  </w:r>
                  <w:r>
                    <w:rPr>
                      <w:shd w:val="pct10" w:color="auto" w:fill="FFFFFF"/>
                    </w:rPr>
                    <w:t xml:space="preserve">.  </w:t>
                  </w:r>
                  <w:r>
                    <w:rPr>
                      <w:rFonts w:hint="eastAsia"/>
                      <w:shd w:val="pct10" w:color="auto" w:fill="FFFFFF"/>
                    </w:rPr>
                    <w:t>投标单位资料</w:t>
                  </w:r>
                </w:p>
              </w:tc>
              <w:tc>
                <w:tcPr>
                  <w:tcW w:w="5984" w:type="dxa"/>
                  <w:gridSpan w:val="22"/>
                  <w:vAlign w:val="center"/>
                </w:tcPr>
                <w:p/>
              </w:tc>
            </w:tr>
            <w:tr>
              <w:tblPrEx>
                <w:tblCellMar>
                  <w:top w:w="0" w:type="dxa"/>
                  <w:left w:w="108" w:type="dxa"/>
                  <w:bottom w:w="0" w:type="dxa"/>
                  <w:right w:w="108" w:type="dxa"/>
                </w:tblCellMar>
              </w:tblPrEx>
              <w:trPr>
                <w:gridAfter w:val="1"/>
                <w:wAfter w:w="20" w:type="dxa"/>
                <w:trHeight w:val="20" w:hRule="atLeast"/>
              </w:trPr>
              <w:tc>
                <w:tcPr>
                  <w:tcW w:w="1413" w:type="dxa"/>
                  <w:vAlign w:val="center"/>
                </w:tcPr>
                <w:p>
                  <w:r>
                    <w:rPr>
                      <w:rFonts w:hint="eastAsia"/>
                    </w:rPr>
                    <w:t>单位名称：</w:t>
                  </w:r>
                </w:p>
              </w:tc>
              <w:tc>
                <w:tcPr>
                  <w:tcW w:w="4252" w:type="dxa"/>
                  <w:gridSpan w:val="6"/>
                  <w:tcBorders>
                    <w:bottom w:val="single" w:color="000000" w:sz="4" w:space="0"/>
                  </w:tcBorders>
                  <w:vAlign w:val="center"/>
                </w:tcPr>
                <w:p/>
              </w:tc>
              <w:tc>
                <w:tcPr>
                  <w:tcW w:w="1418" w:type="dxa"/>
                  <w:gridSpan w:val="7"/>
                  <w:vAlign w:val="center"/>
                </w:tcPr>
                <w:p>
                  <w:r>
                    <w:rPr>
                      <w:rFonts w:hint="eastAsia"/>
                    </w:rPr>
                    <w:t>邮编：</w:t>
                  </w:r>
                </w:p>
              </w:tc>
              <w:tc>
                <w:tcPr>
                  <w:tcW w:w="2890" w:type="dxa"/>
                  <w:gridSpan w:val="12"/>
                  <w:tcBorders>
                    <w:bottom w:val="single" w:color="000000" w:sz="4" w:space="0"/>
                  </w:tcBorders>
                  <w:vAlign w:val="center"/>
                </w:tcPr>
                <w:p/>
              </w:tc>
            </w:tr>
            <w:tr>
              <w:tblPrEx>
                <w:tblCellMar>
                  <w:top w:w="0" w:type="dxa"/>
                  <w:left w:w="108" w:type="dxa"/>
                  <w:bottom w:w="0" w:type="dxa"/>
                  <w:right w:w="108" w:type="dxa"/>
                </w:tblCellMar>
              </w:tblPrEx>
              <w:trPr>
                <w:gridAfter w:val="1"/>
                <w:wAfter w:w="20" w:type="dxa"/>
                <w:trHeight w:val="20" w:hRule="atLeast"/>
              </w:trPr>
              <w:tc>
                <w:tcPr>
                  <w:tcW w:w="1413" w:type="dxa"/>
                  <w:vAlign w:val="center"/>
                </w:tcPr>
                <w:p>
                  <w:r>
                    <w:rPr>
                      <w:rFonts w:hint="eastAsia"/>
                    </w:rPr>
                    <w:t>注册地址：</w:t>
                  </w:r>
                </w:p>
              </w:tc>
              <w:tc>
                <w:tcPr>
                  <w:tcW w:w="4252" w:type="dxa"/>
                  <w:gridSpan w:val="6"/>
                  <w:tcBorders>
                    <w:top w:val="single" w:color="000000" w:sz="4" w:space="0"/>
                    <w:bottom w:val="single" w:color="000000" w:sz="4" w:space="0"/>
                  </w:tcBorders>
                  <w:vAlign w:val="center"/>
                </w:tcPr>
                <w:p/>
              </w:tc>
              <w:tc>
                <w:tcPr>
                  <w:tcW w:w="1418" w:type="dxa"/>
                  <w:gridSpan w:val="7"/>
                  <w:vAlign w:val="center"/>
                </w:tcPr>
                <w:p>
                  <w:r>
                    <w:rPr>
                      <w:rFonts w:hint="eastAsia"/>
                    </w:rPr>
                    <w:t>单位电话：</w:t>
                  </w:r>
                </w:p>
              </w:tc>
              <w:tc>
                <w:tcPr>
                  <w:tcW w:w="2890" w:type="dxa"/>
                  <w:gridSpan w:val="12"/>
                  <w:tcBorders>
                    <w:top w:val="single" w:color="000000" w:sz="4" w:space="0"/>
                    <w:bottom w:val="single" w:color="000000" w:sz="4" w:space="0"/>
                  </w:tcBorders>
                  <w:vAlign w:val="center"/>
                </w:tcPr>
                <w:p/>
              </w:tc>
            </w:tr>
            <w:tr>
              <w:tblPrEx>
                <w:tblCellMar>
                  <w:top w:w="0" w:type="dxa"/>
                  <w:left w:w="108" w:type="dxa"/>
                  <w:bottom w:w="0" w:type="dxa"/>
                  <w:right w:w="108" w:type="dxa"/>
                </w:tblCellMar>
              </w:tblPrEx>
              <w:trPr>
                <w:gridAfter w:val="1"/>
                <w:wAfter w:w="20" w:type="dxa"/>
                <w:trHeight w:val="20" w:hRule="atLeast"/>
              </w:trPr>
              <w:tc>
                <w:tcPr>
                  <w:tcW w:w="1413" w:type="dxa"/>
                  <w:vAlign w:val="center"/>
                </w:tcPr>
                <w:p/>
              </w:tc>
              <w:tc>
                <w:tcPr>
                  <w:tcW w:w="4252" w:type="dxa"/>
                  <w:gridSpan w:val="6"/>
                  <w:tcBorders>
                    <w:top w:val="single" w:color="000000" w:sz="4" w:space="0"/>
                    <w:bottom w:val="single" w:color="000000" w:sz="4" w:space="0"/>
                  </w:tcBorders>
                  <w:vAlign w:val="center"/>
                </w:tcPr>
                <w:p/>
              </w:tc>
              <w:tc>
                <w:tcPr>
                  <w:tcW w:w="1418" w:type="dxa"/>
                  <w:gridSpan w:val="7"/>
                  <w:vAlign w:val="center"/>
                </w:tcPr>
                <w:p>
                  <w:r>
                    <w:rPr>
                      <w:rFonts w:hint="eastAsia"/>
                    </w:rPr>
                    <w:t>单位传真：</w:t>
                  </w:r>
                </w:p>
              </w:tc>
              <w:tc>
                <w:tcPr>
                  <w:tcW w:w="2890" w:type="dxa"/>
                  <w:gridSpan w:val="12"/>
                  <w:tcBorders>
                    <w:top w:val="single" w:color="000000" w:sz="4" w:space="0"/>
                    <w:bottom w:val="single" w:color="000000" w:sz="4" w:space="0"/>
                  </w:tcBorders>
                  <w:vAlign w:val="center"/>
                </w:tcPr>
                <w:p/>
              </w:tc>
            </w:tr>
            <w:tr>
              <w:tblPrEx>
                <w:tblCellMar>
                  <w:top w:w="0" w:type="dxa"/>
                  <w:left w:w="108" w:type="dxa"/>
                  <w:bottom w:w="0" w:type="dxa"/>
                  <w:right w:w="108" w:type="dxa"/>
                </w:tblCellMar>
              </w:tblPrEx>
              <w:trPr>
                <w:gridAfter w:val="1"/>
                <w:wAfter w:w="20" w:type="dxa"/>
                <w:trHeight w:val="20" w:hRule="atLeast"/>
              </w:trPr>
              <w:tc>
                <w:tcPr>
                  <w:tcW w:w="3989" w:type="dxa"/>
                  <w:gridSpan w:val="4"/>
                  <w:vAlign w:val="center"/>
                </w:tcPr>
                <w:p>
                  <w:r>
                    <w:rPr>
                      <w:rFonts w:hint="eastAsia"/>
                      <w:shd w:val="pct10" w:color="auto" w:fill="FFFFFF"/>
                    </w:rPr>
                    <w:t>Ⅱ</w:t>
                  </w:r>
                  <w:r>
                    <w:rPr>
                      <w:shd w:val="pct10" w:color="auto" w:fill="FFFFFF"/>
                    </w:rPr>
                    <w:t xml:space="preserve">.  </w:t>
                  </w:r>
                  <w:r>
                    <w:rPr>
                      <w:rFonts w:hint="eastAsia"/>
                      <w:shd w:val="pct10" w:color="auto" w:fill="FFFFFF"/>
                    </w:rPr>
                    <w:t>拟投标项目资料</w:t>
                  </w:r>
                </w:p>
              </w:tc>
              <w:tc>
                <w:tcPr>
                  <w:tcW w:w="5984" w:type="dxa"/>
                  <w:gridSpan w:val="22"/>
                  <w:vAlign w:val="center"/>
                </w:tcPr>
                <w:p/>
              </w:tc>
            </w:tr>
            <w:tr>
              <w:tblPrEx>
                <w:tblCellMar>
                  <w:top w:w="0" w:type="dxa"/>
                  <w:left w:w="108" w:type="dxa"/>
                  <w:bottom w:w="0" w:type="dxa"/>
                  <w:right w:w="108" w:type="dxa"/>
                </w:tblCellMar>
              </w:tblPrEx>
              <w:trPr>
                <w:gridAfter w:val="1"/>
                <w:wAfter w:w="20" w:type="dxa"/>
                <w:trHeight w:val="20" w:hRule="atLeast"/>
              </w:trPr>
              <w:tc>
                <w:tcPr>
                  <w:tcW w:w="1413" w:type="dxa"/>
                  <w:vAlign w:val="center"/>
                </w:tcPr>
                <w:p>
                  <w:r>
                    <w:rPr>
                      <w:rFonts w:hint="eastAsia"/>
                    </w:rPr>
                    <w:t>项目名称：</w:t>
                  </w:r>
                </w:p>
              </w:tc>
              <w:tc>
                <w:tcPr>
                  <w:tcW w:w="8560" w:type="dxa"/>
                  <w:gridSpan w:val="25"/>
                  <w:vAlign w:val="center"/>
                </w:tcPr>
                <w:p/>
              </w:tc>
            </w:tr>
            <w:tr>
              <w:tblPrEx>
                <w:tblCellMar>
                  <w:top w:w="0" w:type="dxa"/>
                  <w:left w:w="108" w:type="dxa"/>
                  <w:bottom w:w="0" w:type="dxa"/>
                  <w:right w:w="108" w:type="dxa"/>
                </w:tblCellMar>
              </w:tblPrEx>
              <w:trPr>
                <w:gridAfter w:val="1"/>
                <w:wAfter w:w="20" w:type="dxa"/>
                <w:trHeight w:val="20" w:hRule="atLeast"/>
              </w:trPr>
              <w:tc>
                <w:tcPr>
                  <w:tcW w:w="1413" w:type="dxa"/>
                  <w:vAlign w:val="center"/>
                </w:tcPr>
                <w:p>
                  <w:r>
                    <w:rPr>
                      <w:rFonts w:hint="eastAsia"/>
                    </w:rPr>
                    <w:t>项目编号：</w:t>
                  </w:r>
                </w:p>
              </w:tc>
              <w:tc>
                <w:tcPr>
                  <w:tcW w:w="4252" w:type="dxa"/>
                  <w:gridSpan w:val="6"/>
                  <w:tcBorders>
                    <w:top w:val="single" w:color="000000" w:sz="4" w:space="0"/>
                    <w:bottom w:val="single" w:color="000000" w:sz="4" w:space="0"/>
                  </w:tcBorders>
                  <w:vAlign w:val="center"/>
                </w:tcPr>
                <w:p/>
              </w:tc>
              <w:tc>
                <w:tcPr>
                  <w:tcW w:w="1418" w:type="dxa"/>
                  <w:gridSpan w:val="7"/>
                  <w:tcBorders>
                    <w:top w:val="single" w:color="000000" w:sz="4" w:space="0"/>
                  </w:tcBorders>
                  <w:vAlign w:val="center"/>
                </w:tcPr>
                <w:p/>
              </w:tc>
              <w:tc>
                <w:tcPr>
                  <w:tcW w:w="2890" w:type="dxa"/>
                  <w:gridSpan w:val="12"/>
                  <w:tcBorders>
                    <w:top w:val="single" w:color="000000" w:sz="4" w:space="0"/>
                    <w:bottom w:val="single" w:color="000000" w:sz="4" w:space="0"/>
                  </w:tcBorders>
                  <w:vAlign w:val="center"/>
                </w:tcPr>
                <w:p/>
              </w:tc>
            </w:tr>
            <w:tr>
              <w:tblPrEx>
                <w:tblCellMar>
                  <w:top w:w="0" w:type="dxa"/>
                  <w:left w:w="108" w:type="dxa"/>
                  <w:bottom w:w="0" w:type="dxa"/>
                  <w:right w:w="108" w:type="dxa"/>
                </w:tblCellMar>
              </w:tblPrEx>
              <w:trPr>
                <w:gridAfter w:val="1"/>
                <w:wAfter w:w="20" w:type="dxa"/>
                <w:trHeight w:val="20" w:hRule="atLeast"/>
              </w:trPr>
              <w:tc>
                <w:tcPr>
                  <w:tcW w:w="3989" w:type="dxa"/>
                  <w:gridSpan w:val="4"/>
                  <w:vAlign w:val="center"/>
                </w:tcPr>
                <w:p>
                  <w:r>
                    <w:rPr>
                      <w:rFonts w:hint="eastAsia"/>
                      <w:shd w:val="pct10" w:color="auto" w:fill="FFFFFF"/>
                    </w:rPr>
                    <w:t>Ⅲ</w:t>
                  </w:r>
                  <w:r>
                    <w:rPr>
                      <w:shd w:val="pct10" w:color="auto" w:fill="FFFFFF"/>
                    </w:rPr>
                    <w:t xml:space="preserve">.  </w:t>
                  </w:r>
                  <w:r>
                    <w:rPr>
                      <w:rFonts w:hint="eastAsia"/>
                      <w:shd w:val="pct10" w:color="auto" w:fill="FFFFFF"/>
                    </w:rPr>
                    <w:t>法定代表人或被授权人资料</w:t>
                  </w:r>
                </w:p>
              </w:tc>
              <w:tc>
                <w:tcPr>
                  <w:tcW w:w="5984" w:type="dxa"/>
                  <w:gridSpan w:val="22"/>
                  <w:vAlign w:val="center"/>
                </w:tcPr>
                <w:p/>
              </w:tc>
            </w:tr>
            <w:tr>
              <w:tblPrEx>
                <w:tblCellMar>
                  <w:top w:w="0" w:type="dxa"/>
                  <w:left w:w="108" w:type="dxa"/>
                  <w:bottom w:w="0" w:type="dxa"/>
                  <w:right w:w="108" w:type="dxa"/>
                </w:tblCellMar>
              </w:tblPrEx>
              <w:trPr>
                <w:trHeight w:val="77" w:hRule="atLeast"/>
              </w:trPr>
              <w:tc>
                <w:tcPr>
                  <w:tcW w:w="1413" w:type="dxa"/>
                  <w:vAlign w:val="center"/>
                </w:tcPr>
                <w:p>
                  <w:r>
                    <w:rPr>
                      <w:rFonts w:hint="eastAsia"/>
                    </w:rPr>
                    <w:t>姓名：</w:t>
                  </w:r>
                </w:p>
              </w:tc>
              <w:tc>
                <w:tcPr>
                  <w:tcW w:w="2556" w:type="dxa"/>
                  <w:gridSpan w:val="2"/>
                  <w:tcBorders>
                    <w:bottom w:val="single" w:color="000000" w:sz="4" w:space="0"/>
                  </w:tcBorders>
                  <w:vAlign w:val="center"/>
                </w:tcPr>
                <w:p/>
              </w:tc>
              <w:tc>
                <w:tcPr>
                  <w:tcW w:w="1418" w:type="dxa"/>
                  <w:gridSpan w:val="2"/>
                  <w:tcBorders>
                    <w:right w:val="single" w:color="000000" w:sz="4" w:space="0"/>
                  </w:tcBorders>
                  <w:vAlign w:val="center"/>
                </w:tcPr>
                <w:p>
                  <w:r>
                    <w:rPr>
                      <w:rFonts w:hint="eastAsia"/>
                    </w:rPr>
                    <w:t>身份证号：</w:t>
                  </w:r>
                </w:p>
              </w:tc>
              <w:tc>
                <w:tcPr>
                  <w:tcW w:w="278" w:type="dxa"/>
                  <w:gridSpan w:val="2"/>
                  <w:tcBorders>
                    <w:top w:val="single" w:color="000000" w:sz="4" w:space="0"/>
                    <w:left w:val="single" w:color="000000" w:sz="4" w:space="0"/>
                    <w:bottom w:val="single" w:color="000000" w:sz="4" w:space="0"/>
                    <w:right w:val="single" w:color="000000" w:sz="4" w:space="0"/>
                  </w:tcBorders>
                  <w:vAlign w:val="center"/>
                </w:tcPr>
                <w:p/>
              </w:tc>
              <w:tc>
                <w:tcPr>
                  <w:tcW w:w="240" w:type="dxa"/>
                  <w:tcBorders>
                    <w:top w:val="single" w:color="000000" w:sz="4" w:space="0"/>
                    <w:left w:val="single" w:color="000000" w:sz="4" w:space="0"/>
                    <w:bottom w:val="single" w:color="000000" w:sz="4" w:space="0"/>
                    <w:right w:val="single" w:color="000000" w:sz="4" w:space="0"/>
                  </w:tcBorders>
                  <w:vAlign w:val="center"/>
                </w:tcPr>
                <w:p/>
              </w:tc>
              <w:tc>
                <w:tcPr>
                  <w:tcW w:w="266" w:type="dxa"/>
                  <w:tcBorders>
                    <w:top w:val="single" w:color="000000" w:sz="4" w:space="0"/>
                    <w:left w:val="single" w:color="000000" w:sz="4" w:space="0"/>
                    <w:bottom w:val="single" w:color="000000" w:sz="4" w:space="0"/>
                    <w:right w:val="single" w:color="000000" w:sz="4" w:space="0"/>
                  </w:tcBorders>
                  <w:vAlign w:val="center"/>
                </w:tcPr>
                <w:p/>
              </w:tc>
              <w:tc>
                <w:tcPr>
                  <w:tcW w:w="255" w:type="dxa"/>
                  <w:tcBorders>
                    <w:top w:val="single" w:color="000000" w:sz="4" w:space="0"/>
                    <w:left w:val="single" w:color="000000" w:sz="4" w:space="0"/>
                    <w:bottom w:val="single" w:color="000000" w:sz="4" w:space="0"/>
                    <w:right w:val="single" w:color="000000" w:sz="4" w:space="0"/>
                  </w:tcBorders>
                  <w:vAlign w:val="center"/>
                </w:tcPr>
                <w:p/>
              </w:tc>
              <w:tc>
                <w:tcPr>
                  <w:tcW w:w="254" w:type="dxa"/>
                  <w:tcBorders>
                    <w:top w:val="single" w:color="000000" w:sz="4" w:space="0"/>
                    <w:left w:val="single" w:color="000000" w:sz="4" w:space="0"/>
                    <w:bottom w:val="single" w:color="000000" w:sz="4" w:space="0"/>
                    <w:right w:val="single" w:color="000000" w:sz="4" w:space="0"/>
                  </w:tcBorders>
                  <w:vAlign w:val="center"/>
                </w:tcPr>
                <w:p/>
              </w:tc>
              <w:tc>
                <w:tcPr>
                  <w:tcW w:w="255" w:type="dxa"/>
                  <w:tcBorders>
                    <w:top w:val="single" w:color="000000" w:sz="4" w:space="0"/>
                    <w:left w:val="single" w:color="000000" w:sz="4" w:space="0"/>
                    <w:bottom w:val="single" w:color="000000" w:sz="4" w:space="0"/>
                    <w:right w:val="single" w:color="000000" w:sz="4" w:space="0"/>
                  </w:tcBorders>
                  <w:vAlign w:val="center"/>
                </w:tcPr>
                <w:p/>
              </w:tc>
              <w:tc>
                <w:tcPr>
                  <w:tcW w:w="255" w:type="dxa"/>
                  <w:gridSpan w:val="3"/>
                  <w:tcBorders>
                    <w:top w:val="single" w:color="000000" w:sz="4" w:space="0"/>
                    <w:left w:val="single" w:color="000000" w:sz="4" w:space="0"/>
                    <w:bottom w:val="single" w:color="000000" w:sz="4" w:space="0"/>
                    <w:right w:val="single" w:color="000000" w:sz="4" w:space="0"/>
                  </w:tcBorders>
                  <w:vAlign w:val="center"/>
                </w:tcPr>
                <w:p/>
              </w:tc>
              <w:tc>
                <w:tcPr>
                  <w:tcW w:w="255" w:type="dxa"/>
                  <w:tcBorders>
                    <w:top w:val="single" w:color="000000" w:sz="4" w:space="0"/>
                    <w:left w:val="single" w:color="000000" w:sz="4" w:space="0"/>
                    <w:bottom w:val="single" w:color="000000" w:sz="4" w:space="0"/>
                    <w:right w:val="single" w:color="000000" w:sz="4" w:space="0"/>
                  </w:tcBorders>
                  <w:vAlign w:val="center"/>
                </w:tcPr>
                <w:p/>
              </w:tc>
              <w:tc>
                <w:tcPr>
                  <w:tcW w:w="255" w:type="dxa"/>
                  <w:tcBorders>
                    <w:top w:val="single" w:color="000000" w:sz="4" w:space="0"/>
                    <w:left w:val="single" w:color="000000" w:sz="4" w:space="0"/>
                    <w:bottom w:val="single" w:color="000000" w:sz="4" w:space="0"/>
                    <w:right w:val="single" w:color="000000" w:sz="4" w:space="0"/>
                  </w:tcBorders>
                  <w:vAlign w:val="center"/>
                </w:tcPr>
                <w:p/>
              </w:tc>
              <w:tc>
                <w:tcPr>
                  <w:tcW w:w="254" w:type="dxa"/>
                  <w:tcBorders>
                    <w:top w:val="single" w:color="000000" w:sz="4" w:space="0"/>
                    <w:left w:val="single" w:color="000000" w:sz="4" w:space="0"/>
                    <w:bottom w:val="single" w:color="000000" w:sz="4" w:space="0"/>
                    <w:right w:val="single" w:color="000000" w:sz="4" w:space="0"/>
                  </w:tcBorders>
                  <w:vAlign w:val="center"/>
                </w:tcPr>
                <w:p/>
              </w:tc>
              <w:tc>
                <w:tcPr>
                  <w:tcW w:w="255" w:type="dxa"/>
                  <w:tcBorders>
                    <w:top w:val="single" w:color="000000" w:sz="4" w:space="0"/>
                    <w:left w:val="single" w:color="000000" w:sz="4" w:space="0"/>
                    <w:bottom w:val="single" w:color="000000" w:sz="4" w:space="0"/>
                    <w:right w:val="single" w:color="000000" w:sz="4" w:space="0"/>
                  </w:tcBorders>
                  <w:vAlign w:val="center"/>
                </w:tcPr>
                <w:p/>
              </w:tc>
              <w:tc>
                <w:tcPr>
                  <w:tcW w:w="255" w:type="dxa"/>
                  <w:tcBorders>
                    <w:top w:val="single" w:color="000000" w:sz="4" w:space="0"/>
                    <w:left w:val="single" w:color="000000" w:sz="4" w:space="0"/>
                    <w:bottom w:val="single" w:color="000000" w:sz="4" w:space="0"/>
                    <w:right w:val="single" w:color="000000" w:sz="4" w:space="0"/>
                  </w:tcBorders>
                  <w:vAlign w:val="center"/>
                </w:tcPr>
                <w:p/>
              </w:tc>
              <w:tc>
                <w:tcPr>
                  <w:tcW w:w="255" w:type="dxa"/>
                  <w:tcBorders>
                    <w:top w:val="single" w:color="000000" w:sz="4" w:space="0"/>
                    <w:left w:val="single" w:color="000000" w:sz="4" w:space="0"/>
                    <w:bottom w:val="single" w:color="000000" w:sz="4" w:space="0"/>
                    <w:right w:val="single" w:color="000000" w:sz="4" w:space="0"/>
                  </w:tcBorders>
                  <w:vAlign w:val="center"/>
                </w:tcPr>
                <w:p/>
              </w:tc>
              <w:tc>
                <w:tcPr>
                  <w:tcW w:w="254" w:type="dxa"/>
                  <w:tcBorders>
                    <w:top w:val="single" w:color="000000" w:sz="4" w:space="0"/>
                    <w:left w:val="single" w:color="000000" w:sz="4" w:space="0"/>
                    <w:bottom w:val="single" w:color="000000" w:sz="4" w:space="0"/>
                    <w:right w:val="single" w:color="000000" w:sz="4" w:space="0"/>
                  </w:tcBorders>
                  <w:vAlign w:val="center"/>
                </w:tcPr>
                <w:p/>
              </w:tc>
              <w:tc>
                <w:tcPr>
                  <w:tcW w:w="255" w:type="dxa"/>
                  <w:tcBorders>
                    <w:top w:val="single" w:color="000000" w:sz="4" w:space="0"/>
                    <w:left w:val="single" w:color="000000" w:sz="4" w:space="0"/>
                    <w:bottom w:val="single" w:color="000000" w:sz="4" w:space="0"/>
                    <w:right w:val="single" w:color="000000" w:sz="4" w:space="0"/>
                  </w:tcBorders>
                  <w:vAlign w:val="center"/>
                </w:tcPr>
                <w:p/>
              </w:tc>
              <w:tc>
                <w:tcPr>
                  <w:tcW w:w="255" w:type="dxa"/>
                  <w:tcBorders>
                    <w:top w:val="single" w:color="000000" w:sz="4" w:space="0"/>
                    <w:left w:val="single" w:color="000000" w:sz="4" w:space="0"/>
                    <w:bottom w:val="single" w:color="000000" w:sz="4" w:space="0"/>
                    <w:right w:val="single" w:color="000000" w:sz="4" w:space="0"/>
                  </w:tcBorders>
                  <w:vAlign w:val="center"/>
                </w:tcPr>
                <w:p/>
              </w:tc>
              <w:tc>
                <w:tcPr>
                  <w:tcW w:w="255" w:type="dxa"/>
                  <w:tcBorders>
                    <w:top w:val="single" w:color="000000" w:sz="4" w:space="0"/>
                    <w:left w:val="single" w:color="000000" w:sz="4" w:space="0"/>
                    <w:bottom w:val="single" w:color="000000" w:sz="4" w:space="0"/>
                    <w:right w:val="single" w:color="000000" w:sz="4" w:space="0"/>
                  </w:tcBorders>
                  <w:vAlign w:val="center"/>
                </w:tcPr>
                <w:p/>
              </w:tc>
              <w:tc>
                <w:tcPr>
                  <w:tcW w:w="255" w:type="dxa"/>
                  <w:gridSpan w:val="2"/>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gridAfter w:val="1"/>
                <w:wAfter w:w="20" w:type="dxa"/>
                <w:trHeight w:val="254" w:hRule="atLeast"/>
              </w:trPr>
              <w:tc>
                <w:tcPr>
                  <w:tcW w:w="1413" w:type="dxa"/>
                  <w:vAlign w:val="center"/>
                </w:tcPr>
                <w:p>
                  <w:r>
                    <w:rPr>
                      <w:rFonts w:hint="eastAsia"/>
                    </w:rPr>
                    <w:t>手机：</w:t>
                  </w:r>
                </w:p>
              </w:tc>
              <w:tc>
                <w:tcPr>
                  <w:tcW w:w="2556" w:type="dxa"/>
                  <w:gridSpan w:val="2"/>
                  <w:tcBorders>
                    <w:top w:val="single" w:color="000000" w:sz="4" w:space="0"/>
                    <w:bottom w:val="single" w:color="000000" w:sz="4" w:space="0"/>
                  </w:tcBorders>
                  <w:vAlign w:val="center"/>
                </w:tcPr>
                <w:p/>
              </w:tc>
              <w:tc>
                <w:tcPr>
                  <w:tcW w:w="1418" w:type="dxa"/>
                  <w:gridSpan w:val="2"/>
                  <w:vAlign w:val="center"/>
                </w:tcPr>
                <w:p>
                  <w:r>
                    <w:rPr>
                      <w:rFonts w:hint="eastAsia"/>
                    </w:rPr>
                    <w:t>电子邮箱：</w:t>
                  </w:r>
                </w:p>
              </w:tc>
              <w:tc>
                <w:tcPr>
                  <w:tcW w:w="4586" w:type="dxa"/>
                  <w:gridSpan w:val="21"/>
                  <w:tcBorders>
                    <w:top w:val="single" w:color="000000" w:sz="4" w:space="0"/>
                    <w:bottom w:val="single" w:color="000000" w:sz="4" w:space="0"/>
                  </w:tcBorders>
                  <w:vAlign w:val="center"/>
                </w:tcPr>
                <w:p/>
              </w:tc>
            </w:tr>
            <w:tr>
              <w:tblPrEx>
                <w:tblCellMar>
                  <w:top w:w="0" w:type="dxa"/>
                  <w:left w:w="108" w:type="dxa"/>
                  <w:bottom w:w="0" w:type="dxa"/>
                  <w:right w:w="108" w:type="dxa"/>
                </w:tblCellMar>
              </w:tblPrEx>
              <w:trPr>
                <w:gridAfter w:val="1"/>
                <w:wAfter w:w="20" w:type="dxa"/>
                <w:trHeight w:val="20" w:hRule="atLeast"/>
              </w:trPr>
              <w:tc>
                <w:tcPr>
                  <w:tcW w:w="3989" w:type="dxa"/>
                  <w:gridSpan w:val="4"/>
                  <w:vAlign w:val="center"/>
                </w:tcPr>
                <w:p>
                  <w:r>
                    <w:rPr>
                      <w:rFonts w:hint="eastAsia"/>
                      <w:shd w:val="pct10" w:color="auto" w:fill="FFFFFF"/>
                    </w:rPr>
                    <w:t>Ⅳ</w:t>
                  </w:r>
                  <w:r>
                    <w:rPr>
                      <w:shd w:val="pct10" w:color="auto" w:fill="FFFFFF"/>
                    </w:rPr>
                    <w:t xml:space="preserve">.  </w:t>
                  </w:r>
                  <w:r>
                    <w:rPr>
                      <w:rFonts w:hint="eastAsia"/>
                      <w:shd w:val="pct10" w:color="auto" w:fill="FFFFFF"/>
                    </w:rPr>
                    <w:t>投标人须知事项</w:t>
                  </w:r>
                </w:p>
              </w:tc>
              <w:tc>
                <w:tcPr>
                  <w:tcW w:w="5984" w:type="dxa"/>
                  <w:gridSpan w:val="22"/>
                  <w:vAlign w:val="center"/>
                </w:tcPr>
                <w:p/>
              </w:tc>
            </w:tr>
            <w:tr>
              <w:tblPrEx>
                <w:tblCellMar>
                  <w:top w:w="0" w:type="dxa"/>
                  <w:left w:w="108" w:type="dxa"/>
                  <w:bottom w:w="0" w:type="dxa"/>
                  <w:right w:w="108" w:type="dxa"/>
                </w:tblCellMar>
              </w:tblPrEx>
              <w:trPr>
                <w:gridAfter w:val="1"/>
                <w:wAfter w:w="20" w:type="dxa"/>
                <w:trHeight w:val="3064" w:hRule="atLeast"/>
              </w:trPr>
              <w:tc>
                <w:tcPr>
                  <w:tcW w:w="9973" w:type="dxa"/>
                  <w:gridSpan w:val="26"/>
                </w:tcPr>
                <w:p>
                  <w:pPr>
                    <w:pStyle w:val="9"/>
                  </w:pPr>
                  <w:r>
                    <w:rPr>
                      <w:rFonts w:hint="eastAsia"/>
                    </w:rPr>
                    <w:t>我方了解如下事项：</w:t>
                  </w:r>
                </w:p>
                <w:p>
                  <w:pPr>
                    <w:pStyle w:val="9"/>
                  </w:pPr>
                  <w:r>
                    <w:t>1</w:t>
                  </w:r>
                  <w:r>
                    <w:rPr>
                      <w:rFonts w:hint="eastAsia"/>
                    </w:rPr>
                    <w:t>、我方保证本表填写的内容及提供的证件和资料真实有效，如有虚假则承担法律责任；</w:t>
                  </w:r>
                </w:p>
                <w:p>
                  <w:pPr>
                    <w:pStyle w:val="9"/>
                  </w:pPr>
                  <w:r>
                    <w:t>2</w:t>
                  </w:r>
                  <w:r>
                    <w:rPr>
                      <w:rFonts w:hint="eastAsia"/>
                    </w:rPr>
                    <w:t>、我方了解本项目投标人的资格要求，并将相关材料准备齐全参与投标；</w:t>
                  </w:r>
                </w:p>
                <w:p>
                  <w:pPr>
                    <w:pStyle w:val="9"/>
                  </w:pPr>
                  <w:r>
                    <w:t>3</w:t>
                  </w:r>
                  <w:r>
                    <w:rPr>
                      <w:rFonts w:hint="eastAsia"/>
                    </w:rPr>
                    <w:t>、我方了解招标文件的密封要求，并按招标文件要求在投标文件外包装上标识相关内容；</w:t>
                  </w:r>
                </w:p>
                <w:p>
                  <w:pPr>
                    <w:pStyle w:val="9"/>
                    <w:rPr>
                      <w:sz w:val="10"/>
                      <w:szCs w:val="10"/>
                    </w:rPr>
                  </w:pPr>
                  <w:r>
                    <w:t>4</w:t>
                  </w:r>
                  <w:r>
                    <w:rPr>
                      <w:rFonts w:hint="eastAsia"/>
                    </w:rPr>
                    <w:t>、本报名表自本项目中标公告发布三日后失效。</w:t>
                  </w:r>
                </w:p>
              </w:tc>
            </w:tr>
            <w:tr>
              <w:tblPrEx>
                <w:tblCellMar>
                  <w:top w:w="0" w:type="dxa"/>
                  <w:left w:w="108" w:type="dxa"/>
                  <w:bottom w:w="0" w:type="dxa"/>
                  <w:right w:w="108" w:type="dxa"/>
                </w:tblCellMar>
              </w:tblPrEx>
              <w:trPr>
                <w:gridAfter w:val="1"/>
                <w:wAfter w:w="20" w:type="dxa"/>
                <w:trHeight w:val="700" w:hRule="atLeast"/>
              </w:trPr>
              <w:tc>
                <w:tcPr>
                  <w:tcW w:w="2547" w:type="dxa"/>
                  <w:gridSpan w:val="2"/>
                </w:tcPr>
                <w:p>
                  <w:r>
                    <w:rPr>
                      <w:rFonts w:hint="eastAsia"/>
                    </w:rPr>
                    <w:t>签署：</w:t>
                  </w:r>
                </w:p>
              </w:tc>
              <w:tc>
                <w:tcPr>
                  <w:tcW w:w="2977" w:type="dxa"/>
                  <w:gridSpan w:val="4"/>
                </w:tcPr>
                <w:p/>
              </w:tc>
              <w:tc>
                <w:tcPr>
                  <w:tcW w:w="1417" w:type="dxa"/>
                  <w:gridSpan w:val="7"/>
                </w:tcPr>
                <w:p>
                  <w:r>
                    <w:rPr>
                      <w:rFonts w:hint="eastAsia"/>
                    </w:rPr>
                    <w:t>报名日期：</w:t>
                  </w:r>
                </w:p>
              </w:tc>
              <w:tc>
                <w:tcPr>
                  <w:tcW w:w="3032" w:type="dxa"/>
                  <w:gridSpan w:val="13"/>
                </w:tcPr>
                <w:p>
                  <w:r>
                    <w:rPr>
                      <w:rFonts w:hint="eastAsia"/>
                    </w:rPr>
                    <w:t xml:space="preserve">年 </w:t>
                  </w:r>
                  <w:r>
                    <w:t xml:space="preserve">  </w:t>
                  </w:r>
                  <w:r>
                    <w:rPr>
                      <w:rFonts w:hint="eastAsia"/>
                    </w:rPr>
                    <w:t xml:space="preserve">月 </w:t>
                  </w:r>
                  <w:r>
                    <w:t xml:space="preserve">  </w:t>
                  </w:r>
                  <w:r>
                    <w:rPr>
                      <w:rFonts w:hint="eastAsia"/>
                    </w:rPr>
                    <w:t>日</w:t>
                  </w:r>
                </w:p>
                <w:p>
                  <w:r>
                    <w:rPr>
                      <w:rFonts w:hint="eastAsia"/>
                    </w:rPr>
                    <w:t xml:space="preserve">时 </w:t>
                  </w:r>
                  <w:r>
                    <w:t xml:space="preserve">  </w:t>
                  </w:r>
                  <w:r>
                    <w:rPr>
                      <w:rFonts w:hint="eastAsia"/>
                    </w:rPr>
                    <w:t xml:space="preserve">分 </w:t>
                  </w:r>
                  <w:r>
                    <w:t xml:space="preserve">  </w:t>
                  </w:r>
                  <w:r>
                    <w:rPr>
                      <w:rFonts w:hint="eastAsia"/>
                    </w:rPr>
                    <w:t>秒</w:t>
                  </w:r>
                </w:p>
              </w:tc>
            </w:tr>
          </w:tbl>
          <w:p/>
        </w:tc>
      </w:tr>
    </w:tbl>
    <w:p/>
    <w:p>
      <w:pPr>
        <w:pStyle w:val="8"/>
      </w:pPr>
    </w:p>
    <w:p>
      <w:pPr>
        <w:pStyle w:val="8"/>
      </w:pPr>
    </w:p>
    <w:p/>
    <w:p>
      <w:pPr>
        <w:pStyle w:val="2"/>
        <w:rPr>
          <w:rFonts w:hint="default"/>
        </w:rPr>
      </w:pPr>
      <w:r>
        <w:t>政府采购投标及履约承诺函</w:t>
      </w:r>
    </w:p>
    <w:p>
      <w:r>
        <w:rPr>
          <w:rFonts w:hint="eastAsia"/>
        </w:rPr>
        <w:t xml:space="preserve">致： </w:t>
      </w:r>
      <w:r>
        <w:t xml:space="preserve">             </w:t>
      </w:r>
      <w:r>
        <w:rPr>
          <w:rFonts w:hint="eastAsia"/>
        </w:rPr>
        <w:t>学校</w:t>
      </w:r>
      <w:r>
        <w:t xml:space="preserve"> </w:t>
      </w:r>
    </w:p>
    <w:p>
      <w:r>
        <w:rPr>
          <w:rFonts w:hint="eastAsia"/>
        </w:rPr>
        <w:t>我公司承诺：</w:t>
      </w:r>
    </w:p>
    <w:p>
      <w:r>
        <w:rPr>
          <w:rFonts w:hint="eastAsia"/>
        </w:rPr>
        <w:t>1.我公司依法缴纳税收和社会保障资金。</w:t>
      </w:r>
    </w:p>
    <w:p>
      <w:r>
        <w:rPr>
          <w:rFonts w:hint="eastAsia"/>
        </w:rPr>
        <w:t>2.我公司具备合同所必需的社保、设备和专业技术能力。</w:t>
      </w:r>
    </w:p>
    <w:p>
      <w:r>
        <w:rPr>
          <w:rFonts w:hint="eastAsia"/>
        </w:rPr>
        <w:t>3. 我公司具有良好的商业信誉和健全的财务会计制度。</w:t>
      </w:r>
    </w:p>
    <w:p>
      <w:r>
        <w:rPr>
          <w:rFonts w:hint="eastAsia"/>
        </w:rPr>
        <w:t>4. 我公司有依法缴纳税收和社会保障资金的良好记录。</w:t>
      </w:r>
    </w:p>
    <w:p>
      <w:r>
        <w:rPr>
          <w:rFonts w:hint="eastAsia"/>
        </w:rPr>
        <w:t>5.我公司参与本项目投标前一年内在经营活动中没有重大违法记录。</w:t>
      </w:r>
    </w:p>
    <w:p>
      <w:r>
        <w:rPr>
          <w:rFonts w:hint="eastAsia"/>
        </w:rPr>
        <w:t>6. 我公司参与本项目政府采购活动时不存在被有关部门禁止参与政府采购活动且在有效期内的情况。</w:t>
      </w:r>
    </w:p>
    <w:p>
      <w:r>
        <w:rPr>
          <w:rFonts w:hint="eastAsia"/>
        </w:rPr>
        <w:t>7.我公司对本招标项目所提供的货物或服务未侵犯知识产权。</w:t>
      </w:r>
    </w:p>
    <w:p>
      <w:r>
        <w:rPr>
          <w:rFonts w:hint="eastAsia"/>
        </w:rPr>
        <w:t>8.我公司保证采购人拥有所投产品完整的所有权，不以保护知识产权或技术保密的名义对所有权和使用权进行任何限制。</w:t>
      </w:r>
    </w:p>
    <w:p>
      <w:r>
        <w:rPr>
          <w:rFonts w:hint="eastAsia"/>
        </w:rPr>
        <w:t>9.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
        <w:rPr>
          <w:rFonts w:hint="eastAsia"/>
        </w:rPr>
        <w:t>10.如果中标，做到守信，不偷工减料，依照本项目招标文件需求内容、签署的采购合同及本公司在投标中所作的一切承诺履约。项目验收达到全部指标合格，力争优良。</w:t>
      </w:r>
    </w:p>
    <w:p>
      <w:r>
        <w:rPr>
          <w:rFonts w:hint="eastAsia"/>
        </w:rPr>
        <w:t>11. 我公司保证不违法分包转包。</w:t>
      </w:r>
    </w:p>
    <w:p>
      <w:r>
        <w:rPr>
          <w:rFonts w:hint="eastAsia"/>
        </w:rPr>
        <w:t>12.我公司承诺本项目的报价不低于我公司的成本价，否则，我公司清楚将面临被无效投标的风险。</w:t>
      </w:r>
    </w:p>
    <w:p>
      <w:r>
        <w:rPr>
          <w:rFonts w:hint="eastAsia"/>
        </w:rPr>
        <w:t>13.我公司承诺不恶意低价谋取中标；我公司对本项目的报价负责，中标后将严格按照本项目招标文件需求、签署的采购合同及我公司在投标中所作的全部承诺履行。我公司清楚，若我公司以“投标报价太低而无法履约”为理由放弃本项目中标资格时，投标保证金将不被退还，且愿接受主管部门的处理处罚。</w:t>
      </w:r>
    </w:p>
    <w:p>
      <w:r>
        <w:rPr>
          <w:rFonts w:hint="eastAsia"/>
        </w:rPr>
        <w:t>14.若我公司中标本项目，我公司的报价明显低于其他投标人的报价时，我公司清楚，本项目将成为重点监管、重点验收项目，我公司将按时保质保量完成，并全力配合有关监管、验收工作；若我公司为按上述要求履约，我公司愿意接受主管部门的处理处罚。</w:t>
      </w:r>
    </w:p>
    <w:p>
      <w:r>
        <w:rPr>
          <w:rFonts w:hint="eastAsia"/>
        </w:rPr>
        <w:t>15.</w:t>
      </w:r>
      <w:r>
        <w:t xml:space="preserve"> 参与政府采购项目投标的供应商近三年内无行贿犯罪记录</w:t>
      </w:r>
      <w:r>
        <w:rPr>
          <w:rFonts w:hint="eastAsia"/>
        </w:rPr>
        <w:t>。</w:t>
      </w:r>
    </w:p>
    <w:p>
      <w:r>
        <w:rPr>
          <w:rFonts w:hint="eastAsia"/>
        </w:rPr>
        <w:t>以上承诺，如有违反，愿依照国家相关法律处理，并承担由此给采购人带来的损失。</w:t>
      </w:r>
    </w:p>
    <w:p>
      <w:r>
        <w:rPr>
          <w:rFonts w:hint="eastAsia"/>
        </w:rPr>
        <w:t xml:space="preserve">                                             </w:t>
      </w:r>
    </w:p>
    <w:p>
      <w:r>
        <w:rPr>
          <w:rFonts w:hint="eastAsia"/>
        </w:rPr>
        <w:t>公司名称：</w:t>
      </w:r>
      <w:r>
        <w:rPr>
          <w:rFonts w:hint="eastAsia"/>
          <w:lang w:val="en-US" w:eastAsia="zh-CN"/>
        </w:rPr>
        <w:t xml:space="preserve">   </w:t>
      </w:r>
      <w:r>
        <w:rPr>
          <w:rFonts w:hint="eastAsia"/>
        </w:rPr>
        <w:t xml:space="preserve">                        </w:t>
      </w:r>
    </w:p>
    <w:p>
      <w:pPr>
        <w:pStyle w:val="8"/>
        <w:rPr>
          <w:sz w:val="24"/>
        </w:rPr>
      </w:pPr>
      <w:r>
        <w:rPr>
          <w:rFonts w:hint="eastAsia"/>
        </w:rPr>
        <w:t xml:space="preserve">                                                       2024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p>
      <w:pPr>
        <w:pStyle w:val="8"/>
      </w:pPr>
    </w:p>
    <w:p>
      <w:r>
        <w:br w:type="page"/>
      </w:r>
    </w:p>
    <w:p>
      <w:pPr>
        <w:jc w:val="center"/>
        <w:rPr>
          <w:rFonts w:hint="eastAsia"/>
          <w:lang w:val="en-US" w:eastAsia="zh-CN"/>
        </w:rPr>
      </w:pPr>
      <w:r>
        <w:rPr>
          <w:rFonts w:hint="eastAsia"/>
          <w:lang w:val="en-US" w:eastAsia="zh-CN"/>
        </w:rPr>
        <w:t>合同模板及主要条款</w:t>
      </w:r>
    </w:p>
    <w:p>
      <w:pPr>
        <w:jc w:val="center"/>
        <w:rPr>
          <w:rFonts w:hint="eastAsia"/>
          <w:lang w:val="en-US" w:eastAsia="zh-CN"/>
        </w:rPr>
      </w:pPr>
      <w:r>
        <w:rPr>
          <w:rFonts w:hint="eastAsia"/>
          <w:lang w:val="en-US" w:eastAsia="zh-CN"/>
        </w:rPr>
        <w:t>（以实际签订为准）</w:t>
      </w:r>
    </w:p>
    <w:p>
      <w:pPr>
        <w:pStyle w:val="2"/>
        <w:rPr>
          <w:rFonts w:hint="default"/>
          <w:lang w:val="en-US" w:eastAsia="zh-CN"/>
        </w:rPr>
      </w:pPr>
      <w:r>
        <w:rPr>
          <w:rFonts w:hint="default"/>
          <w:lang w:val="en-US" w:eastAsia="zh-CN"/>
        </w:rPr>
        <w:t>甲方（）：</w:t>
      </w:r>
    </w:p>
    <w:p>
      <w:pPr>
        <w:pStyle w:val="2"/>
        <w:rPr>
          <w:rFonts w:hint="default"/>
          <w:lang w:val="en-US" w:eastAsia="zh-CN"/>
        </w:rPr>
      </w:pPr>
      <w:r>
        <w:rPr>
          <w:rFonts w:hint="default"/>
          <w:lang w:val="en-US" w:eastAsia="zh-CN"/>
        </w:rPr>
        <w:t>住所：</w:t>
      </w:r>
    </w:p>
    <w:p>
      <w:pPr>
        <w:pStyle w:val="2"/>
        <w:rPr>
          <w:rFonts w:hint="default"/>
          <w:lang w:val="en-US" w:eastAsia="zh-CN"/>
        </w:rPr>
      </w:pPr>
      <w:r>
        <w:rPr>
          <w:rFonts w:hint="default"/>
          <w:lang w:val="en-US" w:eastAsia="zh-CN"/>
        </w:rPr>
        <w:t>联系人：</w:t>
      </w:r>
    </w:p>
    <w:p>
      <w:pPr>
        <w:pStyle w:val="2"/>
        <w:rPr>
          <w:rFonts w:hint="default"/>
          <w:lang w:val="en-US" w:eastAsia="zh-CN"/>
        </w:rPr>
      </w:pPr>
      <w:r>
        <w:rPr>
          <w:rFonts w:hint="default"/>
          <w:lang w:val="en-US" w:eastAsia="zh-CN"/>
        </w:rPr>
        <w:t>联系方式：</w:t>
      </w:r>
    </w:p>
    <w:p>
      <w:pPr>
        <w:pStyle w:val="2"/>
        <w:rPr>
          <w:rFonts w:hint="default"/>
          <w:lang w:val="en-US" w:eastAsia="zh-CN"/>
        </w:rPr>
      </w:pPr>
      <w:r>
        <w:rPr>
          <w:rFonts w:hint="default"/>
          <w:lang w:val="en-US" w:eastAsia="zh-CN"/>
        </w:rPr>
        <w:t>乙方（）：</w:t>
      </w:r>
    </w:p>
    <w:p>
      <w:pPr>
        <w:pStyle w:val="2"/>
        <w:rPr>
          <w:rFonts w:hint="default"/>
          <w:lang w:val="en-US" w:eastAsia="zh-CN"/>
        </w:rPr>
      </w:pPr>
      <w:r>
        <w:rPr>
          <w:rFonts w:hint="default"/>
          <w:lang w:val="en-US" w:eastAsia="zh-CN"/>
        </w:rPr>
        <w:t>住所：联系人：</w:t>
      </w:r>
    </w:p>
    <w:p>
      <w:pPr>
        <w:pStyle w:val="2"/>
        <w:rPr>
          <w:rFonts w:hint="default"/>
          <w:lang w:val="en-US" w:eastAsia="zh-CN"/>
        </w:rPr>
      </w:pPr>
      <w:r>
        <w:rPr>
          <w:rFonts w:hint="default"/>
          <w:lang w:val="en-US" w:eastAsia="zh-CN"/>
        </w:rPr>
        <w:t>联系方式：</w:t>
      </w:r>
    </w:p>
    <w:p>
      <w:pPr>
        <w:pStyle w:val="2"/>
        <w:rPr>
          <w:rFonts w:hint="default"/>
          <w:lang w:val="en-US" w:eastAsia="zh-CN"/>
        </w:rPr>
      </w:pPr>
      <w:r>
        <w:rPr>
          <w:rFonts w:hint="eastAsia"/>
          <w:lang w:val="en-US" w:eastAsia="zh-CN"/>
        </w:rPr>
        <w:t>丙</w:t>
      </w:r>
      <w:r>
        <w:rPr>
          <w:rFonts w:hint="default"/>
          <w:lang w:val="en-US" w:eastAsia="zh-CN"/>
        </w:rPr>
        <w:t>方（）：</w:t>
      </w:r>
    </w:p>
    <w:p>
      <w:pPr>
        <w:pStyle w:val="2"/>
        <w:rPr>
          <w:rFonts w:hint="default"/>
          <w:lang w:val="en-US" w:eastAsia="zh-CN"/>
        </w:rPr>
      </w:pPr>
      <w:r>
        <w:rPr>
          <w:rFonts w:hint="default"/>
          <w:lang w:val="en-US" w:eastAsia="zh-CN"/>
        </w:rPr>
        <w:t>住所：联系人：</w:t>
      </w:r>
    </w:p>
    <w:p>
      <w:pPr>
        <w:pStyle w:val="2"/>
        <w:rPr>
          <w:rFonts w:hint="default"/>
          <w:lang w:val="en-US" w:eastAsia="zh-CN"/>
        </w:rPr>
      </w:pPr>
      <w:r>
        <w:rPr>
          <w:rFonts w:hint="default"/>
          <w:lang w:val="en-US" w:eastAsia="zh-CN"/>
        </w:rPr>
        <w:t>联系方式：</w:t>
      </w:r>
    </w:p>
    <w:p>
      <w:pPr>
        <w:spacing w:line="300" w:lineRule="auto"/>
        <w:rPr>
          <w:rFonts w:ascii="宋体" w:hAnsi="宋体" w:cs="宋体"/>
          <w:b/>
          <w:bCs/>
          <w:sz w:val="24"/>
          <w:u w:val="single"/>
        </w:rPr>
      </w:pPr>
    </w:p>
    <w:p>
      <w:pPr>
        <w:spacing w:line="300" w:lineRule="auto"/>
        <w:ind w:firstLine="480" w:firstLineChars="200"/>
        <w:rPr>
          <w:rFonts w:ascii="宋体" w:hAnsi="宋体"/>
          <w:sz w:val="24"/>
        </w:rPr>
      </w:pPr>
      <w:r>
        <w:rPr>
          <w:rFonts w:hint="eastAsia" w:ascii="宋体" w:hAnsi="宋体" w:cs="宋体"/>
          <w:sz w:val="24"/>
        </w:rPr>
        <w:t>根据《中华人民共和国</w:t>
      </w:r>
      <w:r>
        <w:rPr>
          <w:rFonts w:hint="eastAsia" w:ascii="宋体" w:hAnsi="宋体" w:cs="宋体"/>
          <w:color w:val="000000"/>
          <w:sz w:val="24"/>
        </w:rPr>
        <w:t>民法典</w:t>
      </w:r>
      <w:r>
        <w:rPr>
          <w:rFonts w:hint="eastAsia" w:ascii="宋体" w:hAnsi="宋体" w:cs="宋体"/>
          <w:sz w:val="24"/>
        </w:rPr>
        <w:t>》</w:t>
      </w:r>
      <w:r>
        <w:rPr>
          <w:rFonts w:hint="eastAsia" w:ascii="宋体" w:hAnsi="宋体"/>
          <w:sz w:val="24"/>
        </w:rPr>
        <w:t>及有关法律法规的规定</w:t>
      </w:r>
      <w:r>
        <w:rPr>
          <w:rFonts w:hint="eastAsia" w:ascii="宋体" w:hAnsi="宋体" w:cs="宋体"/>
          <w:sz w:val="24"/>
        </w:rPr>
        <w:t>，就消防设施设备维护与保养之有关事宜，经双方商定达成如下合同条款：</w:t>
      </w:r>
    </w:p>
    <w:p>
      <w:pPr>
        <w:numPr>
          <w:ilvl w:val="0"/>
          <w:numId w:val="7"/>
        </w:numPr>
        <w:tabs>
          <w:tab w:val="left" w:pos="900"/>
        </w:tabs>
        <w:spacing w:line="300" w:lineRule="auto"/>
        <w:rPr>
          <w:rFonts w:hint="eastAsia" w:ascii="宋体" w:hAnsi="宋体" w:cs="宋体"/>
          <w:b/>
          <w:bCs/>
          <w:sz w:val="24"/>
          <w:u w:val="single"/>
        </w:rPr>
      </w:pPr>
      <w:r>
        <w:rPr>
          <w:rFonts w:hint="eastAsia" w:ascii="宋体" w:hAnsi="宋体" w:cs="宋体"/>
          <w:b/>
          <w:bCs/>
          <w:sz w:val="24"/>
          <w:lang w:val="en-US" w:eastAsia="zh-CN"/>
        </w:rPr>
        <w:t>项目</w:t>
      </w:r>
      <w:r>
        <w:rPr>
          <w:rFonts w:hint="eastAsia" w:ascii="宋体" w:hAnsi="宋体" w:cs="宋体"/>
          <w:b/>
          <w:bCs/>
          <w:sz w:val="24"/>
        </w:rPr>
        <w:t>名称：</w:t>
      </w:r>
      <w:r>
        <w:rPr>
          <w:rFonts w:hint="eastAsia" w:ascii="宋体" w:hAnsi="宋体" w:cs="宋体"/>
          <w:b/>
          <w:bCs/>
          <w:sz w:val="24"/>
          <w:u w:val="single"/>
        </w:rPr>
        <w:t xml:space="preserve"> </w:t>
      </w:r>
    </w:p>
    <w:p>
      <w:pPr>
        <w:numPr>
          <w:ilvl w:val="0"/>
          <w:numId w:val="0"/>
        </w:numPr>
        <w:tabs>
          <w:tab w:val="left" w:pos="900"/>
        </w:tabs>
        <w:spacing w:line="300" w:lineRule="auto"/>
        <w:rPr>
          <w:rFonts w:hint="eastAsia" w:ascii="宋体" w:hAnsi="宋体" w:eastAsia="宋体" w:cs="宋体"/>
          <w:b/>
          <w:bCs/>
          <w:sz w:val="24"/>
          <w:u w:val="single"/>
          <w:lang w:val="en-US" w:eastAsia="zh-CN"/>
        </w:rPr>
      </w:pPr>
      <w:r>
        <w:rPr>
          <w:rFonts w:hint="eastAsia" w:ascii="宋体" w:hAnsi="宋体" w:cs="宋体"/>
          <w:b/>
          <w:bCs/>
          <w:sz w:val="24"/>
        </w:rPr>
        <w:t>二、</w:t>
      </w:r>
      <w:r>
        <w:rPr>
          <w:rFonts w:hint="eastAsia" w:ascii="宋体" w:hAnsi="宋体" w:cs="宋体"/>
          <w:b/>
          <w:bCs/>
          <w:sz w:val="24"/>
          <w:lang w:val="en-US" w:eastAsia="zh-CN"/>
        </w:rPr>
        <w:t>项目</w:t>
      </w:r>
      <w:r>
        <w:rPr>
          <w:rFonts w:hint="eastAsia" w:ascii="宋体" w:hAnsi="宋体" w:cs="宋体"/>
          <w:b/>
          <w:bCs/>
          <w:color w:val="000000"/>
          <w:sz w:val="24"/>
        </w:rPr>
        <w:t>地点：</w:t>
      </w:r>
      <w:r>
        <w:rPr>
          <w:rFonts w:hint="eastAsia" w:ascii="宋体" w:hAnsi="宋体" w:cs="宋体"/>
          <w:b/>
          <w:bCs/>
          <w:sz w:val="24"/>
          <w:u w:val="single"/>
        </w:rPr>
        <w:t xml:space="preserve"> 深圳市</w:t>
      </w:r>
      <w:r>
        <w:rPr>
          <w:rFonts w:hint="eastAsia" w:ascii="宋体" w:hAnsi="宋体" w:cs="宋体"/>
          <w:b/>
          <w:bCs/>
          <w:sz w:val="24"/>
          <w:u w:val="single"/>
          <w:lang w:eastAsia="zh-CN"/>
        </w:rPr>
        <w:t>中学坪山创新学校</w:t>
      </w:r>
    </w:p>
    <w:p>
      <w:pPr>
        <w:spacing w:line="300" w:lineRule="auto"/>
        <w:rPr>
          <w:rFonts w:cs="宋体"/>
          <w:b/>
          <w:bCs/>
          <w:sz w:val="24"/>
        </w:rPr>
      </w:pPr>
      <w:r>
        <w:rPr>
          <w:rFonts w:hint="eastAsia" w:ascii="宋体" w:hAnsi="宋体" w:cs="宋体"/>
          <w:b/>
          <w:bCs/>
          <w:sz w:val="24"/>
        </w:rPr>
        <w:t>三、</w:t>
      </w:r>
      <w:r>
        <w:rPr>
          <w:rFonts w:hint="eastAsia" w:ascii="宋体" w:hAnsi="宋体"/>
          <w:b/>
          <w:color w:val="000000"/>
          <w:sz w:val="24"/>
        </w:rPr>
        <w:t>维护保养服务</w:t>
      </w:r>
      <w:r>
        <w:rPr>
          <w:rFonts w:hint="eastAsia" w:ascii="宋体" w:hAnsi="宋体"/>
          <w:b/>
          <w:color w:val="000000"/>
          <w:kern w:val="80"/>
          <w:sz w:val="24"/>
        </w:rPr>
        <w:t>范围以及实施计划</w:t>
      </w:r>
      <w:r>
        <w:rPr>
          <w:rFonts w:hint="eastAsia" w:cs="宋体"/>
          <w:b/>
          <w:bCs/>
          <w:sz w:val="24"/>
        </w:rPr>
        <w:t>：</w:t>
      </w:r>
    </w:p>
    <w:p>
      <w:pPr>
        <w:numPr>
          <w:ilvl w:val="0"/>
          <w:numId w:val="8"/>
        </w:numPr>
        <w:snapToGrid w:val="0"/>
        <w:spacing w:line="300" w:lineRule="auto"/>
        <w:ind w:right="-21" w:rightChars="-10"/>
        <w:jc w:val="left"/>
        <w:rPr>
          <w:rFonts w:ascii="宋体" w:hAnsi="宋体"/>
          <w:bCs/>
          <w:color w:val="000000"/>
          <w:sz w:val="24"/>
          <w:u w:val="single"/>
        </w:rPr>
      </w:pPr>
      <w:r>
        <w:rPr>
          <w:rFonts w:hint="eastAsia" w:ascii="宋体" w:hAnsi="宋体"/>
          <w:bCs/>
          <w:color w:val="000000"/>
          <w:sz w:val="24"/>
        </w:rPr>
        <w:t>维护保养服务面积：</w:t>
      </w:r>
      <w:r>
        <w:rPr>
          <w:rFonts w:hint="eastAsia" w:ascii="宋体" w:hAnsi="宋体"/>
          <w:bCs/>
          <w:color w:val="000000"/>
          <w:sz w:val="24"/>
          <w:u w:val="single"/>
          <w:lang w:val="en-US" w:eastAsia="zh-CN"/>
        </w:rPr>
        <w:t>114994.06</w:t>
      </w:r>
      <w:r>
        <w:rPr>
          <w:rFonts w:hint="eastAsia" w:ascii="宋体" w:hAnsi="宋体"/>
          <w:bCs/>
          <w:color w:val="000000"/>
          <w:sz w:val="24"/>
          <w:u w:val="single"/>
        </w:rPr>
        <w:t xml:space="preserve"> </w:t>
      </w:r>
      <w:r>
        <w:rPr>
          <w:rFonts w:hint="eastAsia" w:ascii="宋体" w:hAnsi="宋体"/>
          <w:color w:val="000000"/>
          <w:sz w:val="24"/>
          <w:u w:val="single"/>
        </w:rPr>
        <w:t>㎡</w:t>
      </w:r>
    </w:p>
    <w:p>
      <w:pPr>
        <w:tabs>
          <w:tab w:val="left" w:pos="900"/>
        </w:tabs>
        <w:spacing w:line="300" w:lineRule="auto"/>
        <w:rPr>
          <w:rFonts w:ascii="宋体" w:hAnsi="宋体"/>
          <w:bCs/>
          <w:color w:val="000000"/>
          <w:sz w:val="24"/>
          <w:u w:val="single"/>
        </w:rPr>
      </w:pPr>
      <w:r>
        <w:rPr>
          <w:rFonts w:hint="eastAsia" w:ascii="宋体" w:hAnsi="宋体"/>
          <w:bCs/>
          <w:color w:val="000000"/>
          <w:kern w:val="80"/>
          <w:sz w:val="24"/>
        </w:rPr>
        <w:t>维护保养服务范围：</w:t>
      </w:r>
      <w:r>
        <w:rPr>
          <w:rFonts w:hint="eastAsia" w:ascii="宋体" w:hAnsi="宋体"/>
          <w:bCs/>
          <w:color w:val="000000"/>
          <w:kern w:val="80"/>
          <w:sz w:val="24"/>
          <w:u w:val="single"/>
        </w:rPr>
        <w:t xml:space="preserve"> </w:t>
      </w:r>
      <w:r>
        <w:rPr>
          <w:rFonts w:hint="eastAsia" w:ascii="宋体" w:hAnsi="宋体" w:cs="宋体"/>
          <w:b/>
          <w:bCs/>
          <w:sz w:val="24"/>
          <w:u w:val="single"/>
        </w:rPr>
        <w:t>深圳市</w:t>
      </w:r>
      <w:r>
        <w:rPr>
          <w:rFonts w:hint="eastAsia" w:ascii="宋体" w:hAnsi="宋体" w:cs="宋体"/>
          <w:b/>
          <w:bCs/>
          <w:sz w:val="24"/>
          <w:u w:val="single"/>
          <w:lang w:eastAsia="zh-CN"/>
        </w:rPr>
        <w:t>中学坪山创新学校</w:t>
      </w:r>
    </w:p>
    <w:p>
      <w:pPr>
        <w:numPr>
          <w:ilvl w:val="0"/>
          <w:numId w:val="8"/>
        </w:numPr>
        <w:snapToGrid w:val="0"/>
        <w:spacing w:line="300" w:lineRule="auto"/>
        <w:ind w:right="-21" w:rightChars="-10"/>
        <w:jc w:val="left"/>
        <w:rPr>
          <w:rFonts w:ascii="宋体" w:hAnsi="宋体"/>
          <w:bCs/>
          <w:color w:val="000000"/>
          <w:sz w:val="24"/>
          <w:u w:val="single"/>
        </w:rPr>
      </w:pPr>
      <w:r>
        <w:rPr>
          <w:rFonts w:hint="eastAsia" w:ascii="宋体" w:hAnsi="宋体"/>
          <w:bCs/>
          <w:color w:val="000000"/>
          <w:kern w:val="80"/>
          <w:sz w:val="24"/>
        </w:rPr>
        <w:t>维护保养服务消防设施设备如下：</w:t>
      </w:r>
    </w:p>
    <w:p>
      <w:pPr>
        <w:snapToGrid w:val="0"/>
        <w:spacing w:line="300" w:lineRule="auto"/>
        <w:ind w:left="425" w:right="-21" w:rightChars="-10"/>
        <w:jc w:val="left"/>
        <w:rPr>
          <w:rFonts w:ascii="宋体" w:hAnsi="宋体"/>
          <w:bCs/>
          <w:color w:val="000000"/>
          <w:kern w:val="80"/>
          <w:sz w:val="24"/>
        </w:rPr>
      </w:pPr>
      <w:r>
        <w:rPr>
          <w:rFonts w:hint="eastAsia" w:ascii="宋体" w:hAnsi="宋体"/>
          <w:bCs/>
          <w:color w:val="000000"/>
          <w:kern w:val="80"/>
          <w:sz w:val="24"/>
        </w:rPr>
        <w:sym w:font="Wingdings 2" w:char="0052"/>
      </w:r>
      <w:r>
        <w:rPr>
          <w:rFonts w:hint="eastAsia" w:ascii="宋体" w:hAnsi="宋体"/>
          <w:bCs/>
          <w:color w:val="000000"/>
          <w:kern w:val="80"/>
          <w:sz w:val="24"/>
        </w:rPr>
        <w:t>消防供配电设施</w:t>
      </w:r>
    </w:p>
    <w:p>
      <w:pPr>
        <w:snapToGrid w:val="0"/>
        <w:spacing w:line="300" w:lineRule="auto"/>
        <w:ind w:left="425" w:right="-21" w:rightChars="-10"/>
        <w:jc w:val="left"/>
        <w:rPr>
          <w:rFonts w:ascii="宋体" w:hAnsi="宋体"/>
          <w:bCs/>
          <w:color w:val="000000"/>
          <w:kern w:val="80"/>
          <w:sz w:val="24"/>
        </w:rPr>
      </w:pPr>
      <w:r>
        <w:rPr>
          <w:rFonts w:hint="eastAsia" w:ascii="宋体" w:hAnsi="宋体"/>
          <w:bCs/>
          <w:color w:val="000000"/>
          <w:kern w:val="80"/>
          <w:sz w:val="24"/>
        </w:rPr>
        <w:sym w:font="Wingdings 2" w:char="0052"/>
      </w:r>
      <w:r>
        <w:rPr>
          <w:rFonts w:hint="eastAsia" w:ascii="宋体" w:hAnsi="宋体"/>
          <w:bCs/>
          <w:color w:val="000000"/>
          <w:kern w:val="80"/>
          <w:sz w:val="24"/>
        </w:rPr>
        <w:t>火灾自动报警系统</w:t>
      </w:r>
    </w:p>
    <w:p>
      <w:pPr>
        <w:snapToGrid w:val="0"/>
        <w:spacing w:line="300" w:lineRule="auto"/>
        <w:ind w:left="425" w:right="-21" w:rightChars="-10"/>
        <w:jc w:val="left"/>
        <w:rPr>
          <w:rFonts w:ascii="宋体" w:hAnsi="宋体"/>
          <w:bCs/>
          <w:color w:val="000000"/>
          <w:kern w:val="80"/>
          <w:sz w:val="24"/>
        </w:rPr>
      </w:pPr>
      <w:r>
        <w:rPr>
          <w:rFonts w:hint="eastAsia" w:ascii="宋体" w:hAnsi="宋体"/>
          <w:bCs/>
          <w:color w:val="000000"/>
          <w:kern w:val="80"/>
          <w:sz w:val="24"/>
        </w:rPr>
        <w:sym w:font="Wingdings 2" w:char="0052"/>
      </w:r>
      <w:r>
        <w:rPr>
          <w:rFonts w:hint="eastAsia" w:ascii="宋体" w:hAnsi="宋体"/>
          <w:bCs/>
          <w:color w:val="000000"/>
          <w:kern w:val="80"/>
          <w:sz w:val="24"/>
        </w:rPr>
        <w:t>消防供水设施</w:t>
      </w:r>
    </w:p>
    <w:p>
      <w:pPr>
        <w:snapToGrid w:val="0"/>
        <w:spacing w:line="300" w:lineRule="auto"/>
        <w:ind w:left="425" w:right="-21" w:rightChars="-10"/>
        <w:jc w:val="left"/>
        <w:rPr>
          <w:rFonts w:ascii="宋体" w:hAnsi="宋体"/>
          <w:bCs/>
          <w:color w:val="000000"/>
          <w:kern w:val="80"/>
          <w:sz w:val="24"/>
        </w:rPr>
      </w:pPr>
      <w:r>
        <w:rPr>
          <w:rFonts w:hint="eastAsia" w:ascii="宋体" w:hAnsi="宋体"/>
          <w:bCs/>
          <w:color w:val="000000"/>
          <w:kern w:val="80"/>
          <w:sz w:val="24"/>
        </w:rPr>
        <w:sym w:font="Wingdings 2" w:char="0052"/>
      </w:r>
      <w:r>
        <w:rPr>
          <w:rFonts w:hint="eastAsia" w:ascii="宋体" w:hAnsi="宋体"/>
          <w:bCs/>
          <w:color w:val="000000"/>
          <w:kern w:val="80"/>
          <w:sz w:val="24"/>
        </w:rPr>
        <w:t>气体灭火系统</w:t>
      </w:r>
    </w:p>
    <w:p>
      <w:pPr>
        <w:snapToGrid w:val="0"/>
        <w:spacing w:line="300" w:lineRule="auto"/>
        <w:ind w:left="425" w:right="-21" w:rightChars="-10"/>
        <w:jc w:val="left"/>
        <w:rPr>
          <w:rFonts w:ascii="宋体" w:hAnsi="宋体"/>
          <w:bCs/>
          <w:color w:val="000000"/>
          <w:kern w:val="80"/>
          <w:sz w:val="24"/>
        </w:rPr>
      </w:pPr>
      <w:r>
        <w:rPr>
          <w:rFonts w:hint="eastAsia" w:ascii="宋体" w:hAnsi="宋体"/>
          <w:bCs/>
          <w:color w:val="000000"/>
          <w:kern w:val="80"/>
          <w:sz w:val="24"/>
        </w:rPr>
        <w:sym w:font="Wingdings 2" w:char="0052"/>
      </w:r>
      <w:r>
        <w:rPr>
          <w:rFonts w:hint="eastAsia" w:ascii="宋体" w:hAnsi="宋体"/>
          <w:bCs/>
          <w:color w:val="000000"/>
          <w:kern w:val="80"/>
          <w:sz w:val="24"/>
        </w:rPr>
        <w:t>应急广播系统</w:t>
      </w:r>
    </w:p>
    <w:p>
      <w:pPr>
        <w:snapToGrid w:val="0"/>
        <w:spacing w:line="300" w:lineRule="auto"/>
        <w:ind w:left="425" w:right="-21" w:rightChars="-10"/>
        <w:jc w:val="left"/>
        <w:rPr>
          <w:rFonts w:hint="eastAsia" w:ascii="宋体" w:hAnsi="宋体"/>
          <w:bCs/>
          <w:color w:val="000000"/>
          <w:kern w:val="80"/>
          <w:sz w:val="24"/>
        </w:rPr>
      </w:pPr>
      <w:r>
        <w:rPr>
          <w:rFonts w:hint="eastAsia" w:ascii="宋体" w:hAnsi="宋体"/>
          <w:bCs/>
          <w:color w:val="000000"/>
          <w:kern w:val="80"/>
          <w:sz w:val="24"/>
        </w:rPr>
        <w:sym w:font="Wingdings 2" w:char="0052"/>
      </w:r>
      <w:r>
        <w:rPr>
          <w:rFonts w:hint="eastAsia" w:ascii="宋体" w:hAnsi="宋体"/>
          <w:bCs/>
          <w:color w:val="000000"/>
          <w:kern w:val="80"/>
          <w:sz w:val="24"/>
        </w:rPr>
        <w:t xml:space="preserve">消火栓系统   </w:t>
      </w:r>
    </w:p>
    <w:p>
      <w:pPr>
        <w:snapToGrid w:val="0"/>
        <w:spacing w:line="300" w:lineRule="auto"/>
        <w:ind w:left="425" w:right="-21" w:rightChars="-10"/>
        <w:jc w:val="left"/>
        <w:rPr>
          <w:rFonts w:hint="default" w:ascii="宋体" w:hAnsi="宋体" w:eastAsia="宋体"/>
          <w:bCs/>
          <w:color w:val="000000"/>
          <w:kern w:val="80"/>
          <w:sz w:val="24"/>
          <w:lang w:val="en-US" w:eastAsia="zh-CN"/>
        </w:rPr>
      </w:pPr>
      <w:r>
        <w:rPr>
          <w:rFonts w:hint="eastAsia" w:ascii="宋体" w:hAnsi="宋体"/>
          <w:bCs/>
          <w:color w:val="000000"/>
          <w:kern w:val="80"/>
          <w:sz w:val="24"/>
        </w:rPr>
        <w:sym w:font="Wingdings 2" w:char="0052"/>
      </w:r>
      <w:r>
        <w:rPr>
          <w:rFonts w:hint="eastAsia" w:ascii="宋体" w:hAnsi="宋体"/>
          <w:bCs/>
          <w:color w:val="000000"/>
          <w:kern w:val="80"/>
          <w:sz w:val="24"/>
          <w:lang w:val="en-US" w:eastAsia="zh-CN"/>
        </w:rPr>
        <w:t>喷淋系统</w:t>
      </w:r>
    </w:p>
    <w:p>
      <w:pPr>
        <w:snapToGrid w:val="0"/>
        <w:spacing w:line="300" w:lineRule="auto"/>
        <w:ind w:left="425" w:right="-21" w:rightChars="-10"/>
        <w:jc w:val="left"/>
        <w:rPr>
          <w:rFonts w:hint="default" w:ascii="宋体" w:hAnsi="宋体" w:eastAsia="宋体"/>
          <w:bCs/>
          <w:color w:val="000000"/>
          <w:kern w:val="80"/>
          <w:sz w:val="24"/>
          <w:lang w:val="en-US" w:eastAsia="zh-CN"/>
        </w:rPr>
      </w:pPr>
      <w:r>
        <w:rPr>
          <w:rFonts w:hint="eastAsia" w:ascii="宋体" w:hAnsi="宋体"/>
          <w:bCs/>
          <w:color w:val="000000"/>
          <w:kern w:val="80"/>
          <w:sz w:val="24"/>
        </w:rPr>
        <w:sym w:font="Wingdings 2" w:char="0052"/>
      </w:r>
      <w:r>
        <w:rPr>
          <w:rFonts w:hint="eastAsia" w:ascii="宋体" w:hAnsi="宋体"/>
          <w:bCs/>
          <w:color w:val="000000"/>
          <w:kern w:val="80"/>
          <w:sz w:val="24"/>
          <w:lang w:val="en-US" w:eastAsia="zh-CN"/>
        </w:rPr>
        <w:t>防排烟系统</w:t>
      </w:r>
    </w:p>
    <w:p>
      <w:pPr>
        <w:snapToGrid w:val="0"/>
        <w:spacing w:line="300" w:lineRule="auto"/>
        <w:ind w:left="425" w:right="-21" w:rightChars="-10"/>
        <w:jc w:val="left"/>
        <w:rPr>
          <w:rFonts w:hint="eastAsia" w:ascii="宋体" w:hAnsi="宋体" w:eastAsia="宋体"/>
          <w:bCs/>
          <w:color w:val="000000"/>
          <w:kern w:val="80"/>
          <w:sz w:val="24"/>
          <w:lang w:val="en-US" w:eastAsia="zh-CN"/>
        </w:rPr>
      </w:pPr>
      <w:r>
        <w:rPr>
          <w:rFonts w:hint="eastAsia" w:ascii="宋体" w:hAnsi="宋体"/>
          <w:bCs/>
          <w:color w:val="000000"/>
          <w:kern w:val="80"/>
          <w:sz w:val="24"/>
        </w:rPr>
        <w:t>其他：</w:t>
      </w:r>
      <w:r>
        <w:rPr>
          <w:rFonts w:hint="eastAsia" w:ascii="宋体" w:hAnsi="宋体"/>
          <w:bCs/>
          <w:color w:val="000000"/>
          <w:kern w:val="80"/>
          <w:sz w:val="24"/>
          <w:lang w:val="en-US" w:eastAsia="zh-CN"/>
        </w:rPr>
        <w:t>/</w:t>
      </w:r>
    </w:p>
    <w:p>
      <w:pPr>
        <w:snapToGrid w:val="0"/>
        <w:spacing w:line="300" w:lineRule="auto"/>
        <w:ind w:right="-21" w:rightChars="-10"/>
        <w:jc w:val="left"/>
        <w:rPr>
          <w:rFonts w:ascii="宋体" w:hAnsi="宋体"/>
          <w:sz w:val="24"/>
        </w:rPr>
      </w:pPr>
      <w:r>
        <w:rPr>
          <w:rFonts w:hint="eastAsia" w:ascii="宋体" w:hAnsi="宋体" w:cs="宋体"/>
          <w:b/>
          <w:bCs/>
          <w:sz w:val="24"/>
        </w:rPr>
        <w:t>四、合同起止日期：</w:t>
      </w:r>
    </w:p>
    <w:p>
      <w:pPr>
        <w:snapToGrid w:val="0"/>
        <w:spacing w:line="300" w:lineRule="auto"/>
        <w:ind w:left="19" w:leftChars="9" w:right="-21" w:rightChars="-10" w:firstLine="456" w:firstLineChars="190"/>
        <w:jc w:val="left"/>
        <w:rPr>
          <w:rFonts w:ascii="宋体" w:hAnsi="宋体"/>
          <w:bCs/>
          <w:color w:val="000000"/>
          <w:kern w:val="80"/>
          <w:sz w:val="24"/>
        </w:rPr>
      </w:pPr>
      <w:r>
        <w:rPr>
          <w:rFonts w:hint="eastAsia" w:ascii="宋体" w:hAnsi="宋体"/>
          <w:bCs/>
          <w:color w:val="000000"/>
          <w:kern w:val="80"/>
          <w:sz w:val="24"/>
        </w:rPr>
        <w:t xml:space="preserve">自 </w:t>
      </w:r>
      <w:r>
        <w:rPr>
          <w:rFonts w:hint="eastAsia" w:ascii="宋体" w:hAnsi="宋体"/>
          <w:bCs/>
          <w:color w:val="000000"/>
          <w:kern w:val="80"/>
          <w:sz w:val="24"/>
          <w:u w:val="single"/>
        </w:rPr>
        <w:t xml:space="preserve"> </w:t>
      </w:r>
      <w:r>
        <w:rPr>
          <w:rFonts w:ascii="宋体" w:hAnsi="宋体"/>
          <w:bCs/>
          <w:color w:val="000000"/>
          <w:kern w:val="80"/>
          <w:sz w:val="24"/>
          <w:u w:val="single"/>
        </w:rPr>
        <w:t>202</w:t>
      </w:r>
      <w:r>
        <w:rPr>
          <w:rFonts w:hint="eastAsia" w:ascii="宋体" w:hAnsi="宋体"/>
          <w:bCs/>
          <w:color w:val="000000"/>
          <w:kern w:val="80"/>
          <w:sz w:val="24"/>
          <w:u w:val="single"/>
          <w:lang w:val="en-US" w:eastAsia="zh-CN"/>
        </w:rPr>
        <w:t>4</w:t>
      </w:r>
      <w:r>
        <w:rPr>
          <w:rFonts w:hint="eastAsia" w:ascii="宋体" w:hAnsi="宋体"/>
          <w:bCs/>
          <w:color w:val="000000"/>
          <w:kern w:val="80"/>
          <w:sz w:val="24"/>
          <w:u w:val="single"/>
        </w:rPr>
        <w:t xml:space="preserve"> </w:t>
      </w:r>
      <w:r>
        <w:rPr>
          <w:rFonts w:hint="eastAsia" w:ascii="宋体" w:hAnsi="宋体"/>
          <w:bCs/>
          <w:color w:val="000000"/>
          <w:kern w:val="80"/>
          <w:sz w:val="24"/>
        </w:rPr>
        <w:t>年</w:t>
      </w:r>
      <w:r>
        <w:rPr>
          <w:rFonts w:hint="eastAsia" w:ascii="宋体" w:hAnsi="宋体"/>
          <w:bCs/>
          <w:color w:val="000000"/>
          <w:kern w:val="80"/>
          <w:sz w:val="24"/>
          <w:u w:val="single"/>
        </w:rPr>
        <w:t xml:space="preserve"> </w:t>
      </w:r>
      <w:r>
        <w:rPr>
          <w:rFonts w:hint="eastAsia" w:ascii="宋体" w:hAnsi="宋体"/>
          <w:bCs/>
          <w:color w:val="000000"/>
          <w:kern w:val="80"/>
          <w:sz w:val="24"/>
          <w:u w:val="single"/>
          <w:lang w:val="en-US" w:eastAsia="zh-CN"/>
        </w:rPr>
        <w:t xml:space="preserve"> </w:t>
      </w:r>
      <w:r>
        <w:rPr>
          <w:rFonts w:hint="eastAsia" w:ascii="宋体" w:hAnsi="宋体"/>
          <w:bCs/>
          <w:color w:val="000000"/>
          <w:kern w:val="80"/>
          <w:sz w:val="24"/>
          <w:u w:val="single"/>
        </w:rPr>
        <w:t xml:space="preserve"> </w:t>
      </w:r>
      <w:r>
        <w:rPr>
          <w:rFonts w:hint="eastAsia" w:ascii="宋体" w:hAnsi="宋体"/>
          <w:bCs/>
          <w:color w:val="000000"/>
          <w:kern w:val="80"/>
          <w:sz w:val="24"/>
        </w:rPr>
        <w:t>月</w:t>
      </w:r>
      <w:r>
        <w:rPr>
          <w:rFonts w:hint="eastAsia" w:ascii="宋体" w:hAnsi="宋体"/>
          <w:bCs/>
          <w:color w:val="000000"/>
          <w:kern w:val="80"/>
          <w:sz w:val="24"/>
          <w:u w:val="single"/>
        </w:rPr>
        <w:t xml:space="preserve">  </w:t>
      </w:r>
      <w:r>
        <w:rPr>
          <w:rFonts w:hint="eastAsia" w:ascii="宋体" w:hAnsi="宋体"/>
          <w:bCs/>
          <w:color w:val="000000"/>
          <w:kern w:val="80"/>
          <w:sz w:val="24"/>
          <w:u w:val="single"/>
          <w:lang w:val="en-US" w:eastAsia="zh-CN"/>
        </w:rPr>
        <w:t xml:space="preserve"> </w:t>
      </w:r>
      <w:r>
        <w:rPr>
          <w:rFonts w:hint="eastAsia" w:ascii="宋体" w:hAnsi="宋体"/>
          <w:bCs/>
          <w:color w:val="000000"/>
          <w:kern w:val="80"/>
          <w:sz w:val="24"/>
          <w:u w:val="single"/>
        </w:rPr>
        <w:t xml:space="preserve"> </w:t>
      </w:r>
      <w:r>
        <w:rPr>
          <w:rFonts w:hint="eastAsia" w:ascii="宋体" w:hAnsi="宋体"/>
          <w:bCs/>
          <w:color w:val="000000"/>
          <w:kern w:val="80"/>
          <w:sz w:val="24"/>
        </w:rPr>
        <w:t>日起至</w:t>
      </w:r>
      <w:r>
        <w:rPr>
          <w:rFonts w:hint="eastAsia" w:ascii="宋体" w:hAnsi="宋体"/>
          <w:bCs/>
          <w:color w:val="000000"/>
          <w:kern w:val="80"/>
          <w:sz w:val="24"/>
          <w:u w:val="single"/>
        </w:rPr>
        <w:t xml:space="preserve"> </w:t>
      </w:r>
      <w:r>
        <w:rPr>
          <w:rFonts w:ascii="宋体" w:hAnsi="宋体"/>
          <w:bCs/>
          <w:color w:val="000000"/>
          <w:kern w:val="80"/>
          <w:sz w:val="24"/>
          <w:u w:val="single"/>
        </w:rPr>
        <w:t>202</w:t>
      </w:r>
      <w:r>
        <w:rPr>
          <w:rFonts w:hint="eastAsia" w:ascii="宋体" w:hAnsi="宋体"/>
          <w:bCs/>
          <w:color w:val="000000"/>
          <w:kern w:val="80"/>
          <w:sz w:val="24"/>
          <w:u w:val="single"/>
          <w:lang w:val="en-US" w:eastAsia="zh-CN"/>
        </w:rPr>
        <w:t>5</w:t>
      </w:r>
      <w:r>
        <w:rPr>
          <w:rFonts w:hint="eastAsia" w:ascii="宋体" w:hAnsi="宋体"/>
          <w:bCs/>
          <w:color w:val="000000"/>
          <w:kern w:val="80"/>
          <w:sz w:val="24"/>
          <w:u w:val="single"/>
        </w:rPr>
        <w:t xml:space="preserve"> </w:t>
      </w:r>
      <w:r>
        <w:rPr>
          <w:rFonts w:hint="eastAsia" w:ascii="宋体" w:hAnsi="宋体"/>
          <w:bCs/>
          <w:color w:val="000000"/>
          <w:kern w:val="80"/>
          <w:sz w:val="24"/>
        </w:rPr>
        <w:t>年</w:t>
      </w:r>
      <w:r>
        <w:rPr>
          <w:rFonts w:hint="eastAsia" w:ascii="宋体" w:hAnsi="宋体"/>
          <w:bCs/>
          <w:color w:val="000000"/>
          <w:kern w:val="80"/>
          <w:sz w:val="24"/>
          <w:u w:val="single"/>
        </w:rPr>
        <w:t xml:space="preserve"> </w:t>
      </w:r>
      <w:r>
        <w:rPr>
          <w:rFonts w:hint="eastAsia" w:ascii="宋体" w:hAnsi="宋体"/>
          <w:bCs/>
          <w:color w:val="000000"/>
          <w:kern w:val="80"/>
          <w:sz w:val="24"/>
          <w:u w:val="single"/>
          <w:lang w:val="en-US" w:eastAsia="zh-CN"/>
        </w:rPr>
        <w:t xml:space="preserve"> </w:t>
      </w:r>
      <w:r>
        <w:rPr>
          <w:rFonts w:hint="eastAsia" w:ascii="宋体" w:hAnsi="宋体"/>
          <w:bCs/>
          <w:color w:val="000000"/>
          <w:kern w:val="80"/>
          <w:sz w:val="24"/>
        </w:rPr>
        <w:t>月</w:t>
      </w:r>
      <w:r>
        <w:rPr>
          <w:rFonts w:hint="eastAsia" w:ascii="宋体" w:hAnsi="宋体"/>
          <w:bCs/>
          <w:color w:val="000000"/>
          <w:kern w:val="80"/>
          <w:sz w:val="24"/>
          <w:u w:val="single"/>
        </w:rPr>
        <w:t xml:space="preserve">  </w:t>
      </w:r>
      <w:r>
        <w:rPr>
          <w:rFonts w:hint="eastAsia" w:ascii="宋体" w:hAnsi="宋体"/>
          <w:bCs/>
          <w:color w:val="000000"/>
          <w:kern w:val="80"/>
          <w:sz w:val="24"/>
          <w:u w:val="single"/>
          <w:lang w:val="en-US" w:eastAsia="zh-CN"/>
        </w:rPr>
        <w:t xml:space="preserve"> </w:t>
      </w:r>
      <w:r>
        <w:rPr>
          <w:rFonts w:hint="eastAsia" w:ascii="宋体" w:hAnsi="宋体"/>
          <w:bCs/>
          <w:color w:val="000000"/>
          <w:kern w:val="80"/>
          <w:sz w:val="24"/>
          <w:u w:val="single"/>
        </w:rPr>
        <w:t xml:space="preserve"> </w:t>
      </w:r>
      <w:r>
        <w:rPr>
          <w:rFonts w:hint="eastAsia" w:ascii="宋体" w:hAnsi="宋体"/>
          <w:bCs/>
          <w:color w:val="000000"/>
          <w:kern w:val="80"/>
          <w:sz w:val="24"/>
        </w:rPr>
        <w:t>日止，本合同有效期一年。</w:t>
      </w:r>
    </w:p>
    <w:p>
      <w:pPr>
        <w:snapToGrid w:val="0"/>
        <w:spacing w:line="300" w:lineRule="auto"/>
        <w:ind w:right="-21" w:rightChars="-10"/>
        <w:jc w:val="left"/>
        <w:rPr>
          <w:rFonts w:ascii="宋体" w:hAnsi="宋体"/>
          <w:b/>
          <w:color w:val="000000"/>
          <w:kern w:val="80"/>
          <w:sz w:val="24"/>
        </w:rPr>
      </w:pPr>
      <w:r>
        <w:rPr>
          <w:rFonts w:hint="eastAsia" w:ascii="宋体" w:hAnsi="宋体" w:cs="宋体"/>
          <w:b/>
          <w:bCs/>
          <w:color w:val="000000"/>
          <w:sz w:val="24"/>
        </w:rPr>
        <w:t>五、</w:t>
      </w:r>
      <w:r>
        <w:rPr>
          <w:rFonts w:hint="eastAsia" w:ascii="宋体" w:hAnsi="宋体"/>
          <w:b/>
          <w:color w:val="000000"/>
          <w:kern w:val="80"/>
          <w:sz w:val="24"/>
        </w:rPr>
        <w:t>总金额及付款方式</w:t>
      </w:r>
    </w:p>
    <w:p>
      <w:pPr>
        <w:numPr>
          <w:ilvl w:val="0"/>
          <w:numId w:val="9"/>
        </w:numPr>
        <w:snapToGrid w:val="0"/>
        <w:spacing w:line="300" w:lineRule="auto"/>
        <w:ind w:right="-21" w:rightChars="-10"/>
        <w:jc w:val="left"/>
        <w:rPr>
          <w:rFonts w:ascii="宋体" w:hAnsi="宋体"/>
          <w:color w:val="000000"/>
          <w:kern w:val="80"/>
          <w:sz w:val="24"/>
        </w:rPr>
      </w:pPr>
      <w:r>
        <w:rPr>
          <w:rFonts w:hint="eastAsia" w:ascii="宋体" w:hAnsi="宋体"/>
          <w:bCs/>
          <w:color w:val="000000"/>
          <w:sz w:val="24"/>
        </w:rPr>
        <w:t xml:space="preserve">合同金额：本合同的维护保养服务费用为人民币（含税）：¥ </w:t>
      </w:r>
      <w:r>
        <w:rPr>
          <w:rFonts w:hint="eastAsia"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hint="eastAsia" w:ascii="宋体" w:hAnsi="宋体"/>
          <w:bCs/>
          <w:color w:val="000000"/>
          <w:sz w:val="24"/>
          <w:u w:val="single"/>
        </w:rPr>
        <w:t xml:space="preserve">  </w:t>
      </w:r>
      <w:r>
        <w:rPr>
          <w:rFonts w:hint="eastAsia" w:ascii="宋体" w:hAnsi="宋体"/>
          <w:bCs/>
          <w:color w:val="000000"/>
          <w:sz w:val="24"/>
        </w:rPr>
        <w:t>元（大写：</w:t>
      </w:r>
      <w:r>
        <w:rPr>
          <w:rFonts w:hint="eastAsia" w:ascii="宋体" w:hAnsi="宋体"/>
          <w:bCs/>
          <w:color w:val="000000"/>
          <w:sz w:val="24"/>
          <w:lang w:val="en-US" w:eastAsia="zh-CN"/>
        </w:rPr>
        <w:t xml:space="preserve">      </w:t>
      </w:r>
      <w:r>
        <w:rPr>
          <w:rFonts w:hint="eastAsia" w:ascii="宋体" w:hAnsi="宋体"/>
          <w:bCs/>
          <w:color w:val="000000"/>
          <w:sz w:val="24"/>
          <w:u w:val="single"/>
        </w:rPr>
        <w:t>整</w:t>
      </w:r>
      <w:r>
        <w:rPr>
          <w:rFonts w:hint="eastAsia" w:ascii="宋体" w:hAnsi="宋体"/>
          <w:bCs/>
          <w:color w:val="000000"/>
          <w:sz w:val="24"/>
        </w:rPr>
        <w:t>）</w:t>
      </w:r>
      <w:r>
        <w:rPr>
          <w:rFonts w:hint="eastAsia" w:ascii="宋体" w:hAnsi="宋体"/>
          <w:bCs/>
          <w:color w:val="000000"/>
          <w:sz w:val="24"/>
          <w:lang w:eastAsia="zh-CN"/>
        </w:rPr>
        <w:t>。</w:t>
      </w:r>
      <w:r>
        <w:rPr>
          <w:rFonts w:hint="eastAsia" w:ascii="宋体" w:hAnsi="宋体"/>
          <w:bCs/>
          <w:color w:val="000000"/>
          <w:sz w:val="24"/>
          <w:lang w:val="en-US" w:eastAsia="zh-CN"/>
        </w:rPr>
        <w:t>本合同金额包含交通费、人工费、税费等一切费用。</w:t>
      </w:r>
    </w:p>
    <w:p>
      <w:pPr>
        <w:numPr>
          <w:ilvl w:val="0"/>
          <w:numId w:val="9"/>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sz w:val="24"/>
        </w:rPr>
        <w:t>付款方式：</w:t>
      </w:r>
      <w:r>
        <w:rPr>
          <w:rFonts w:hint="eastAsia" w:ascii="宋体" w:hAnsi="宋体"/>
          <w:bCs/>
          <w:color w:val="000000"/>
          <w:sz w:val="24"/>
          <w:lang w:val="en-US" w:eastAsia="zh-CN"/>
        </w:rPr>
        <w:t>付款前，丙方应先开具合法有效发票及相应报账资料</w:t>
      </w:r>
      <w:r>
        <w:rPr>
          <w:rFonts w:hint="eastAsia" w:ascii="宋体" w:hAnsi="宋体"/>
          <w:bCs/>
          <w:color w:val="000000"/>
          <w:sz w:val="24"/>
          <w:lang w:eastAsia="zh-CN"/>
        </w:rPr>
        <w:t>。</w:t>
      </w:r>
    </w:p>
    <w:p>
      <w:pPr>
        <w:numPr>
          <w:ilvl w:val="0"/>
          <w:numId w:val="9"/>
        </w:numPr>
        <w:snapToGrid w:val="0"/>
        <w:spacing w:line="300" w:lineRule="auto"/>
        <w:ind w:right="-21" w:rightChars="-10"/>
        <w:jc w:val="left"/>
        <w:rPr>
          <w:rFonts w:ascii="宋体" w:hAnsi="宋体"/>
          <w:bCs/>
          <w:color w:val="000000"/>
          <w:sz w:val="24"/>
        </w:rPr>
      </w:pPr>
      <w:r>
        <w:rPr>
          <w:rFonts w:hint="eastAsia" w:ascii="宋体" w:hAnsi="宋体"/>
          <w:bCs/>
          <w:color w:val="000000"/>
          <w:sz w:val="24"/>
          <w:lang w:eastAsia="zh-CN"/>
        </w:rPr>
        <w:t>丙方</w:t>
      </w:r>
      <w:r>
        <w:rPr>
          <w:rFonts w:hint="eastAsia" w:ascii="宋体" w:hAnsi="宋体"/>
          <w:bCs/>
          <w:color w:val="000000"/>
          <w:sz w:val="24"/>
        </w:rPr>
        <w:t>收款信息：</w:t>
      </w:r>
    </w:p>
    <w:p>
      <w:pPr>
        <w:snapToGrid w:val="0"/>
        <w:spacing w:line="300" w:lineRule="auto"/>
        <w:ind w:right="-21" w:rightChars="-10" w:firstLine="480" w:firstLineChars="200"/>
        <w:jc w:val="left"/>
        <w:rPr>
          <w:rFonts w:hint="eastAsia" w:ascii="宋体" w:hAnsi="宋体"/>
          <w:bCs/>
          <w:color w:val="000000"/>
          <w:sz w:val="24"/>
        </w:rPr>
      </w:pPr>
      <w:r>
        <w:rPr>
          <w:rFonts w:hint="eastAsia" w:ascii="宋体" w:hAnsi="宋体"/>
          <w:bCs/>
          <w:color w:val="000000"/>
          <w:sz w:val="24"/>
        </w:rPr>
        <w:t>户 名：</w:t>
      </w:r>
    </w:p>
    <w:p>
      <w:pPr>
        <w:snapToGrid w:val="0"/>
        <w:spacing w:line="300" w:lineRule="auto"/>
        <w:ind w:right="-21" w:rightChars="-10" w:firstLine="480" w:firstLineChars="200"/>
        <w:jc w:val="left"/>
        <w:rPr>
          <w:rFonts w:ascii="宋体" w:hAnsi="宋体"/>
          <w:bCs/>
          <w:color w:val="000000"/>
          <w:sz w:val="24"/>
        </w:rPr>
      </w:pPr>
      <w:r>
        <w:rPr>
          <w:rFonts w:hint="eastAsia" w:ascii="宋体" w:hAnsi="宋体"/>
          <w:bCs/>
          <w:color w:val="000000"/>
          <w:sz w:val="24"/>
        </w:rPr>
        <w:t>开户银行：</w:t>
      </w:r>
    </w:p>
    <w:p>
      <w:pPr>
        <w:snapToGrid w:val="0"/>
        <w:spacing w:line="300" w:lineRule="auto"/>
        <w:ind w:right="-21" w:rightChars="-10" w:firstLine="480" w:firstLineChars="200"/>
        <w:jc w:val="left"/>
        <w:rPr>
          <w:rFonts w:ascii="宋体" w:hAnsi="宋体"/>
          <w:bCs/>
          <w:color w:val="000000"/>
          <w:sz w:val="24"/>
        </w:rPr>
      </w:pPr>
      <w:r>
        <w:rPr>
          <w:rFonts w:hint="eastAsia" w:ascii="宋体" w:hAnsi="宋体"/>
          <w:bCs/>
          <w:color w:val="000000"/>
          <w:sz w:val="24"/>
        </w:rPr>
        <w:t>账号：</w:t>
      </w:r>
    </w:p>
    <w:p>
      <w:pPr>
        <w:snapToGrid w:val="0"/>
        <w:spacing w:line="300" w:lineRule="auto"/>
        <w:ind w:right="-21" w:rightChars="-10"/>
        <w:jc w:val="left"/>
        <w:rPr>
          <w:rFonts w:ascii="宋体" w:hAnsi="宋体" w:cs="宋体"/>
          <w:b/>
          <w:bCs/>
          <w:color w:val="000000"/>
          <w:kern w:val="0"/>
          <w:sz w:val="24"/>
        </w:rPr>
      </w:pPr>
      <w:r>
        <w:rPr>
          <w:rFonts w:hint="eastAsia" w:ascii="宋体" w:hAnsi="宋体"/>
          <w:b/>
          <w:color w:val="000000"/>
          <w:kern w:val="80"/>
          <w:sz w:val="24"/>
        </w:rPr>
        <w:t>六、更换材料、设备的供应</w:t>
      </w:r>
    </w:p>
    <w:p>
      <w:pPr>
        <w:numPr>
          <w:ilvl w:val="0"/>
          <w:numId w:val="10"/>
        </w:numPr>
        <w:snapToGrid w:val="0"/>
        <w:spacing w:line="300" w:lineRule="auto"/>
        <w:ind w:left="425" w:leftChars="0" w:right="-21" w:rightChars="-10" w:hanging="425" w:firstLineChars="0"/>
        <w:jc w:val="left"/>
        <w:rPr>
          <w:rFonts w:ascii="宋体" w:hAnsi="宋体"/>
          <w:bCs/>
          <w:color w:val="000000"/>
          <w:kern w:val="80"/>
          <w:sz w:val="24"/>
        </w:rPr>
      </w:pPr>
      <w:r>
        <w:rPr>
          <w:rFonts w:hint="eastAsia" w:ascii="宋体" w:hAnsi="宋体"/>
          <w:bCs/>
          <w:color w:val="000000"/>
          <w:kern w:val="80"/>
          <w:sz w:val="24"/>
        </w:rPr>
        <w:t>本合同的订立仅以维护保养以及测试为服务内容。在第一次进场全面测试中发现的消防设施及零配件故障，按市场价格收取维修材料费以及维修工时费</w:t>
      </w:r>
      <w:r>
        <w:rPr>
          <w:rFonts w:hint="eastAsia" w:ascii="宋体" w:hAnsi="宋体"/>
          <w:bCs/>
          <w:color w:val="000000"/>
          <w:kern w:val="80"/>
          <w:sz w:val="24"/>
          <w:lang w:eastAsia="zh-CN"/>
        </w:rPr>
        <w:t>，</w:t>
      </w:r>
      <w:r>
        <w:rPr>
          <w:rFonts w:hint="eastAsia" w:ascii="宋体" w:hAnsi="宋体"/>
          <w:bCs/>
          <w:color w:val="000000"/>
          <w:kern w:val="80"/>
          <w:sz w:val="24"/>
          <w:lang w:val="en-US" w:eastAsia="zh-CN"/>
        </w:rPr>
        <w:t>后续</w:t>
      </w:r>
      <w:r>
        <w:rPr>
          <w:rFonts w:hint="eastAsia" w:ascii="宋体" w:hAnsi="宋体"/>
          <w:bCs/>
          <w:color w:val="000000"/>
          <w:kern w:val="80"/>
          <w:sz w:val="24"/>
        </w:rPr>
        <w:t>日常例行维护保养服务过程</w:t>
      </w:r>
      <w:r>
        <w:rPr>
          <w:rFonts w:hint="eastAsia" w:ascii="宋体" w:hAnsi="宋体"/>
          <w:bCs/>
          <w:color w:val="000000"/>
          <w:kern w:val="80"/>
          <w:sz w:val="24"/>
          <w:lang w:val="en-US" w:eastAsia="zh-CN"/>
        </w:rPr>
        <w:t>中不再收取</w:t>
      </w:r>
      <w:r>
        <w:rPr>
          <w:rFonts w:hint="eastAsia" w:ascii="宋体" w:hAnsi="宋体"/>
          <w:bCs/>
          <w:color w:val="000000"/>
          <w:kern w:val="80"/>
          <w:sz w:val="24"/>
        </w:rPr>
        <w:t>维修材料费以及维修工时费。</w:t>
      </w:r>
      <w:r>
        <w:rPr>
          <w:rFonts w:hint="eastAsia" w:ascii="宋体" w:hAnsi="宋体"/>
          <w:bCs/>
          <w:color w:val="000000"/>
          <w:kern w:val="80"/>
          <w:sz w:val="24"/>
          <w:lang w:eastAsia="zh-CN"/>
        </w:rPr>
        <w:t>甲方、乙方</w:t>
      </w:r>
      <w:r>
        <w:rPr>
          <w:rFonts w:hint="eastAsia" w:ascii="宋体" w:hAnsi="宋体"/>
          <w:bCs/>
          <w:color w:val="000000"/>
          <w:kern w:val="80"/>
          <w:sz w:val="24"/>
        </w:rPr>
        <w:t>亦可自行采购材料</w:t>
      </w:r>
      <w:r>
        <w:rPr>
          <w:rFonts w:hint="eastAsia" w:ascii="宋体" w:hAnsi="宋体"/>
          <w:bCs/>
          <w:color w:val="000000"/>
          <w:kern w:val="80"/>
          <w:sz w:val="24"/>
          <w:lang w:val="en-US" w:eastAsia="zh-CN"/>
        </w:rPr>
        <w:t>或委托丙方采购材料</w:t>
      </w:r>
      <w:r>
        <w:rPr>
          <w:rFonts w:hint="eastAsia" w:ascii="宋体" w:hAnsi="宋体"/>
          <w:bCs/>
          <w:color w:val="000000"/>
          <w:kern w:val="80"/>
          <w:sz w:val="24"/>
        </w:rPr>
        <w:t>。因</w:t>
      </w:r>
      <w:r>
        <w:rPr>
          <w:rFonts w:hint="eastAsia" w:ascii="宋体" w:hAnsi="宋体"/>
          <w:bCs/>
          <w:color w:val="000000"/>
          <w:kern w:val="80"/>
          <w:sz w:val="24"/>
          <w:lang w:eastAsia="zh-CN"/>
        </w:rPr>
        <w:t>甲方、乙方</w:t>
      </w:r>
      <w:r>
        <w:rPr>
          <w:rFonts w:hint="eastAsia" w:ascii="宋体" w:hAnsi="宋体"/>
          <w:bCs/>
          <w:color w:val="000000"/>
          <w:kern w:val="80"/>
          <w:sz w:val="24"/>
        </w:rPr>
        <w:t>采购的材料不符合要求无法使用或影响维保质量的，</w:t>
      </w:r>
      <w:r>
        <w:rPr>
          <w:rFonts w:hint="eastAsia" w:ascii="宋体" w:hAnsi="宋体"/>
          <w:bCs/>
          <w:color w:val="000000"/>
          <w:kern w:val="80"/>
          <w:sz w:val="24"/>
          <w:lang w:eastAsia="zh-CN"/>
        </w:rPr>
        <w:t>丙方</w:t>
      </w:r>
      <w:r>
        <w:rPr>
          <w:rFonts w:hint="eastAsia" w:ascii="宋体" w:hAnsi="宋体"/>
          <w:bCs/>
          <w:color w:val="000000"/>
          <w:kern w:val="80"/>
          <w:sz w:val="24"/>
        </w:rPr>
        <w:t>不承担责任。</w:t>
      </w:r>
    </w:p>
    <w:p>
      <w:pPr>
        <w:numPr>
          <w:ilvl w:val="0"/>
          <w:numId w:val="10"/>
        </w:numPr>
        <w:snapToGrid w:val="0"/>
        <w:spacing w:line="300" w:lineRule="auto"/>
        <w:ind w:left="425" w:leftChars="0" w:right="-21" w:rightChars="-10" w:hanging="425" w:firstLineChars="0"/>
        <w:jc w:val="left"/>
        <w:rPr>
          <w:rFonts w:ascii="宋体" w:hAnsi="宋体"/>
          <w:bCs/>
          <w:color w:val="000000"/>
          <w:kern w:val="80"/>
          <w:sz w:val="24"/>
        </w:rPr>
      </w:pPr>
      <w:r>
        <w:rPr>
          <w:rFonts w:hint="eastAsia" w:ascii="宋体" w:hAnsi="宋体"/>
          <w:bCs/>
          <w:color w:val="000000"/>
          <w:kern w:val="80"/>
          <w:sz w:val="24"/>
        </w:rPr>
        <w:t>发现消防设施及零配件故障的，</w:t>
      </w:r>
      <w:r>
        <w:rPr>
          <w:rFonts w:hint="eastAsia" w:ascii="宋体" w:hAnsi="宋体"/>
          <w:bCs/>
          <w:color w:val="000000"/>
          <w:kern w:val="80"/>
          <w:sz w:val="24"/>
          <w:lang w:eastAsia="zh-CN"/>
        </w:rPr>
        <w:t>丙方</w:t>
      </w:r>
      <w:r>
        <w:rPr>
          <w:rFonts w:hint="eastAsia" w:ascii="宋体" w:hAnsi="宋体"/>
          <w:bCs/>
          <w:color w:val="000000"/>
          <w:kern w:val="80"/>
          <w:sz w:val="24"/>
        </w:rPr>
        <w:t>向</w:t>
      </w:r>
      <w:r>
        <w:rPr>
          <w:rFonts w:hint="eastAsia" w:ascii="宋体" w:hAnsi="宋体"/>
          <w:bCs/>
          <w:color w:val="000000"/>
          <w:kern w:val="80"/>
          <w:sz w:val="24"/>
          <w:lang w:eastAsia="zh-CN"/>
        </w:rPr>
        <w:t>甲方、乙方</w:t>
      </w:r>
      <w:r>
        <w:rPr>
          <w:rFonts w:hint="eastAsia" w:ascii="宋体" w:hAnsi="宋体"/>
          <w:bCs/>
          <w:color w:val="000000"/>
          <w:kern w:val="80"/>
          <w:sz w:val="24"/>
        </w:rPr>
        <w:t>报送维修所需的材料费及工时费，如由</w:t>
      </w:r>
      <w:r>
        <w:rPr>
          <w:rFonts w:hint="eastAsia" w:ascii="宋体" w:hAnsi="宋体"/>
          <w:bCs/>
          <w:color w:val="000000"/>
          <w:kern w:val="80"/>
          <w:sz w:val="24"/>
          <w:lang w:eastAsia="zh-CN"/>
        </w:rPr>
        <w:t>甲方、乙方</w:t>
      </w:r>
      <w:r>
        <w:rPr>
          <w:rFonts w:hint="eastAsia" w:ascii="宋体" w:hAnsi="宋体"/>
          <w:bCs/>
          <w:color w:val="000000"/>
          <w:kern w:val="80"/>
          <w:sz w:val="24"/>
        </w:rPr>
        <w:t>采购维修材料的，</w:t>
      </w:r>
      <w:r>
        <w:rPr>
          <w:rFonts w:hint="eastAsia" w:ascii="宋体" w:hAnsi="宋体"/>
          <w:bCs/>
          <w:color w:val="000000"/>
          <w:kern w:val="80"/>
          <w:sz w:val="24"/>
          <w:lang w:eastAsia="zh-CN"/>
        </w:rPr>
        <w:t>丙方</w:t>
      </w:r>
      <w:r>
        <w:rPr>
          <w:rFonts w:hint="eastAsia" w:ascii="宋体" w:hAnsi="宋体"/>
          <w:bCs/>
          <w:color w:val="000000"/>
          <w:kern w:val="80"/>
          <w:sz w:val="24"/>
        </w:rPr>
        <w:t>在收到</w:t>
      </w:r>
      <w:r>
        <w:rPr>
          <w:rFonts w:hint="eastAsia" w:ascii="宋体" w:hAnsi="宋体"/>
          <w:bCs/>
          <w:color w:val="000000"/>
          <w:kern w:val="80"/>
          <w:sz w:val="24"/>
          <w:lang w:eastAsia="zh-CN"/>
        </w:rPr>
        <w:t>甲方、乙方</w:t>
      </w:r>
      <w:r>
        <w:rPr>
          <w:rFonts w:hint="eastAsia" w:ascii="宋体" w:hAnsi="宋体"/>
          <w:bCs/>
          <w:color w:val="000000"/>
          <w:kern w:val="80"/>
          <w:sz w:val="24"/>
        </w:rPr>
        <w:t>提供的维修材料后开展维修，维修所需时长由</w:t>
      </w:r>
      <w:r>
        <w:rPr>
          <w:rFonts w:hint="eastAsia" w:ascii="宋体" w:hAnsi="宋体"/>
          <w:bCs/>
          <w:color w:val="000000"/>
          <w:kern w:val="80"/>
          <w:sz w:val="24"/>
          <w:lang w:eastAsia="zh-CN"/>
        </w:rPr>
        <w:t>丙方</w:t>
      </w:r>
      <w:r>
        <w:rPr>
          <w:rFonts w:hint="eastAsia" w:ascii="宋体" w:hAnsi="宋体"/>
          <w:bCs/>
          <w:color w:val="000000"/>
          <w:kern w:val="80"/>
          <w:sz w:val="24"/>
        </w:rPr>
        <w:t>视故障情况结合工作量确定。</w:t>
      </w:r>
    </w:p>
    <w:p>
      <w:pPr>
        <w:numPr>
          <w:ilvl w:val="0"/>
          <w:numId w:val="10"/>
        </w:numPr>
        <w:snapToGrid w:val="0"/>
        <w:spacing w:line="300" w:lineRule="auto"/>
        <w:ind w:left="425" w:leftChars="0" w:right="-21" w:rightChars="-10" w:hanging="425" w:firstLineChars="0"/>
        <w:jc w:val="left"/>
        <w:rPr>
          <w:rFonts w:ascii="宋体" w:hAnsi="宋体"/>
          <w:bCs/>
          <w:color w:val="000000"/>
          <w:kern w:val="80"/>
          <w:sz w:val="24"/>
        </w:rPr>
      </w:pPr>
      <w:r>
        <w:rPr>
          <w:rFonts w:hint="eastAsia" w:ascii="宋体" w:hAnsi="宋体"/>
          <w:bCs/>
          <w:color w:val="000000"/>
          <w:kern w:val="80"/>
          <w:sz w:val="24"/>
        </w:rPr>
        <w:t>消防设施及零配件非因</w:t>
      </w:r>
      <w:r>
        <w:rPr>
          <w:rFonts w:hint="eastAsia" w:ascii="宋体" w:hAnsi="宋体"/>
          <w:bCs/>
          <w:color w:val="000000"/>
          <w:kern w:val="80"/>
          <w:sz w:val="24"/>
          <w:lang w:eastAsia="zh-CN"/>
        </w:rPr>
        <w:t>丙方</w:t>
      </w:r>
      <w:r>
        <w:rPr>
          <w:rFonts w:hint="eastAsia" w:ascii="宋体" w:hAnsi="宋体"/>
          <w:bCs/>
          <w:color w:val="000000"/>
          <w:kern w:val="80"/>
          <w:sz w:val="24"/>
        </w:rPr>
        <w:t>原因导致再次出现问题需要维修的，</w:t>
      </w:r>
      <w:r>
        <w:rPr>
          <w:rFonts w:hint="eastAsia" w:ascii="宋体" w:hAnsi="宋体"/>
          <w:bCs/>
          <w:color w:val="000000"/>
          <w:kern w:val="80"/>
          <w:sz w:val="24"/>
          <w:lang w:eastAsia="zh-CN"/>
        </w:rPr>
        <w:t>丙方</w:t>
      </w:r>
      <w:r>
        <w:rPr>
          <w:rFonts w:hint="eastAsia" w:ascii="宋体" w:hAnsi="宋体"/>
          <w:bCs/>
          <w:color w:val="000000"/>
          <w:kern w:val="80"/>
          <w:sz w:val="24"/>
        </w:rPr>
        <w:t>可另行计收取维修材料费以及维修工时费。</w:t>
      </w:r>
    </w:p>
    <w:p>
      <w:pPr>
        <w:spacing w:line="300" w:lineRule="auto"/>
        <w:rPr>
          <w:rFonts w:ascii="宋体" w:hAnsi="宋体"/>
          <w:sz w:val="24"/>
        </w:rPr>
      </w:pPr>
      <w:r>
        <w:rPr>
          <w:rFonts w:hint="eastAsia" w:ascii="宋体" w:hAnsi="宋体" w:cs="宋体"/>
          <w:b/>
          <w:bCs/>
          <w:sz w:val="24"/>
        </w:rPr>
        <w:t>七、</w:t>
      </w:r>
      <w:r>
        <w:rPr>
          <w:rFonts w:hint="eastAsia" w:ascii="宋体" w:hAnsi="宋体" w:cs="宋体"/>
          <w:b/>
          <w:bCs/>
          <w:sz w:val="24"/>
          <w:lang w:eastAsia="zh-CN"/>
        </w:rPr>
        <w:t>甲方、乙方</w:t>
      </w:r>
      <w:r>
        <w:rPr>
          <w:rFonts w:hint="eastAsia" w:ascii="宋体" w:hAnsi="宋体"/>
          <w:b/>
          <w:color w:val="000000"/>
          <w:sz w:val="24"/>
        </w:rPr>
        <w:t>责任与义务</w:t>
      </w:r>
    </w:p>
    <w:p>
      <w:pPr>
        <w:numPr>
          <w:ilvl w:val="0"/>
          <w:numId w:val="11"/>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lang w:eastAsia="zh-CN"/>
        </w:rPr>
        <w:t>甲方、乙方</w:t>
      </w:r>
      <w:r>
        <w:rPr>
          <w:rFonts w:hint="eastAsia" w:ascii="宋体" w:hAnsi="宋体"/>
          <w:bCs/>
          <w:color w:val="000000"/>
          <w:kern w:val="80"/>
          <w:sz w:val="24"/>
        </w:rPr>
        <w:t>委任：</w:t>
      </w:r>
      <w:r>
        <w:rPr>
          <w:rFonts w:hint="eastAsia" w:ascii="宋体" w:hAnsi="宋体"/>
          <w:bCs/>
          <w:color w:val="000000"/>
          <w:kern w:val="80"/>
          <w:sz w:val="24"/>
          <w:u w:val="single"/>
        </w:rPr>
        <w:t xml:space="preserve"> </w:t>
      </w:r>
      <w:r>
        <w:rPr>
          <w:rFonts w:hint="eastAsia" w:ascii="宋体" w:hAnsi="宋体"/>
          <w:bCs/>
          <w:color w:val="000000"/>
          <w:kern w:val="80"/>
          <w:sz w:val="24"/>
          <w:u w:val="single"/>
          <w:lang w:val="en-US" w:eastAsia="zh-CN"/>
        </w:rPr>
        <w:t xml:space="preserve">  </w:t>
      </w:r>
      <w:r>
        <w:rPr>
          <w:rFonts w:hint="eastAsia" w:ascii="宋体" w:hAnsi="宋体"/>
          <w:bCs/>
          <w:color w:val="000000"/>
          <w:kern w:val="80"/>
          <w:sz w:val="24"/>
          <w:u w:val="single"/>
          <w:lang w:eastAsia="zh-CN"/>
        </w:rPr>
        <w:t>（</w:t>
      </w:r>
      <w:r>
        <w:rPr>
          <w:rFonts w:hint="eastAsia" w:ascii="宋体" w:hAnsi="宋体"/>
          <w:bCs/>
          <w:color w:val="000000"/>
          <w:kern w:val="80"/>
          <w:sz w:val="24"/>
        </w:rPr>
        <w:t>联系方式：</w:t>
      </w:r>
      <w:r>
        <w:rPr>
          <w:rFonts w:hint="eastAsia" w:ascii="宋体" w:hAnsi="宋体"/>
          <w:bCs/>
          <w:color w:val="000000"/>
          <w:kern w:val="80"/>
          <w:sz w:val="24"/>
          <w:lang w:val="en-US" w:eastAsia="zh-CN"/>
        </w:rPr>
        <w:t xml:space="preserve">     </w:t>
      </w:r>
      <w:r>
        <w:rPr>
          <w:rFonts w:hint="eastAsia" w:ascii="宋体" w:hAnsi="宋体"/>
          <w:bCs/>
          <w:color w:val="000000"/>
          <w:kern w:val="80"/>
          <w:sz w:val="24"/>
          <w:u w:val="none"/>
          <w:lang w:eastAsia="zh-CN"/>
        </w:rPr>
        <w:t>）</w:t>
      </w:r>
      <w:r>
        <w:rPr>
          <w:rFonts w:hint="eastAsia" w:ascii="宋体" w:hAnsi="宋体"/>
          <w:bCs/>
          <w:color w:val="000000"/>
          <w:kern w:val="80"/>
          <w:sz w:val="24"/>
        </w:rPr>
        <w:t>为该项目</w:t>
      </w:r>
      <w:r>
        <w:rPr>
          <w:rFonts w:hint="eastAsia" w:ascii="宋体" w:hAnsi="宋体"/>
          <w:bCs/>
          <w:color w:val="000000"/>
          <w:kern w:val="80"/>
          <w:sz w:val="24"/>
          <w:lang w:eastAsia="zh-CN"/>
        </w:rPr>
        <w:t>甲方、乙方</w:t>
      </w:r>
      <w:r>
        <w:rPr>
          <w:rFonts w:hint="eastAsia" w:ascii="宋体" w:hAnsi="宋体"/>
          <w:bCs/>
          <w:color w:val="000000"/>
          <w:kern w:val="80"/>
          <w:sz w:val="24"/>
        </w:rPr>
        <w:t>的代表，负责本合同的履行和协调，</w:t>
      </w:r>
      <w:r>
        <w:rPr>
          <w:rFonts w:hint="eastAsia" w:ascii="宋体" w:hAnsi="宋体"/>
          <w:bCs/>
          <w:color w:val="000000"/>
          <w:kern w:val="80"/>
          <w:sz w:val="24"/>
          <w:lang w:eastAsia="zh-CN"/>
        </w:rPr>
        <w:t>甲方、乙方</w:t>
      </w:r>
      <w:r>
        <w:rPr>
          <w:rFonts w:hint="eastAsia" w:ascii="宋体" w:hAnsi="宋体"/>
          <w:bCs/>
          <w:color w:val="000000"/>
          <w:kern w:val="80"/>
          <w:sz w:val="24"/>
        </w:rPr>
        <w:t>的代表人必须由具备相关专业知识的人员担任。若</w:t>
      </w:r>
      <w:r>
        <w:rPr>
          <w:rFonts w:hint="eastAsia" w:ascii="宋体" w:hAnsi="宋体"/>
          <w:bCs/>
          <w:color w:val="000000"/>
          <w:kern w:val="80"/>
          <w:sz w:val="24"/>
          <w:lang w:eastAsia="zh-CN"/>
        </w:rPr>
        <w:t>甲方、乙方</w:t>
      </w:r>
      <w:r>
        <w:rPr>
          <w:rFonts w:hint="eastAsia" w:ascii="宋体" w:hAnsi="宋体"/>
          <w:bCs/>
          <w:color w:val="000000"/>
          <w:kern w:val="80"/>
          <w:sz w:val="24"/>
        </w:rPr>
        <w:t>代表变更，须提前七天通知</w:t>
      </w:r>
      <w:r>
        <w:rPr>
          <w:rFonts w:hint="eastAsia" w:ascii="宋体" w:hAnsi="宋体"/>
          <w:bCs/>
          <w:color w:val="000000"/>
          <w:kern w:val="80"/>
          <w:sz w:val="24"/>
          <w:lang w:eastAsia="zh-CN"/>
        </w:rPr>
        <w:t>丙方</w:t>
      </w:r>
      <w:r>
        <w:rPr>
          <w:rFonts w:hint="eastAsia" w:ascii="宋体" w:hAnsi="宋体"/>
          <w:bCs/>
          <w:color w:val="000000"/>
          <w:kern w:val="80"/>
          <w:sz w:val="24"/>
        </w:rPr>
        <w:t>，其接任者必须全权承接前任应负的责任。</w:t>
      </w:r>
      <w:r>
        <w:rPr>
          <w:rFonts w:hint="eastAsia" w:ascii="宋体" w:hAnsi="宋体"/>
          <w:bCs/>
          <w:color w:val="000000"/>
          <w:kern w:val="80"/>
          <w:sz w:val="24"/>
          <w:lang w:eastAsia="zh-CN"/>
        </w:rPr>
        <w:t>甲方、乙方</w:t>
      </w:r>
      <w:r>
        <w:rPr>
          <w:rFonts w:hint="eastAsia" w:ascii="宋体" w:hAnsi="宋体"/>
          <w:bCs/>
          <w:color w:val="000000"/>
          <w:kern w:val="80"/>
          <w:sz w:val="24"/>
        </w:rPr>
        <w:t>代表人应对</w:t>
      </w:r>
      <w:r>
        <w:rPr>
          <w:rFonts w:hint="eastAsia" w:ascii="宋体" w:hAnsi="宋体"/>
          <w:bCs/>
          <w:color w:val="000000"/>
          <w:kern w:val="80"/>
          <w:sz w:val="24"/>
          <w:lang w:eastAsia="zh-CN"/>
        </w:rPr>
        <w:t>丙方</w:t>
      </w:r>
      <w:r>
        <w:rPr>
          <w:rFonts w:hint="eastAsia" w:ascii="宋体" w:hAnsi="宋体"/>
          <w:bCs/>
          <w:color w:val="000000"/>
          <w:kern w:val="80"/>
          <w:sz w:val="24"/>
        </w:rPr>
        <w:t>的维护保养服务工作给予配合,应对维护保养记录和报告进行审查并签名确认。</w:t>
      </w:r>
    </w:p>
    <w:p>
      <w:pPr>
        <w:numPr>
          <w:ilvl w:val="0"/>
          <w:numId w:val="11"/>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lang w:eastAsia="zh-CN"/>
        </w:rPr>
        <w:t>甲方、乙方</w:t>
      </w:r>
      <w:r>
        <w:rPr>
          <w:rFonts w:hint="eastAsia" w:ascii="宋体" w:hAnsi="宋体"/>
          <w:bCs/>
          <w:color w:val="000000"/>
          <w:kern w:val="80"/>
          <w:sz w:val="24"/>
        </w:rPr>
        <w:t>按《</w:t>
      </w:r>
      <w:r>
        <w:rPr>
          <w:rFonts w:hint="eastAsia" w:ascii="宋体" w:hAnsi="宋体"/>
          <w:bCs/>
          <w:color w:val="000000"/>
          <w:sz w:val="24"/>
        </w:rPr>
        <w:t>中华人民共和国消防法</w:t>
      </w:r>
      <w:r>
        <w:rPr>
          <w:rFonts w:hint="eastAsia" w:ascii="宋体" w:hAnsi="宋体"/>
          <w:bCs/>
          <w:color w:val="000000"/>
          <w:kern w:val="80"/>
          <w:sz w:val="24"/>
        </w:rPr>
        <w:t>》的规定，建立健全建筑消防设施值班、巡查等制度，配备专职的消防值班人员，负责按消防值班规定做好日常巡视、检查、记录工作。</w:t>
      </w:r>
      <w:r>
        <w:rPr>
          <w:rFonts w:hint="eastAsia" w:ascii="宋体" w:hAnsi="宋体"/>
          <w:bCs/>
          <w:color w:val="000000"/>
          <w:kern w:val="80"/>
          <w:sz w:val="24"/>
          <w:lang w:eastAsia="zh-CN"/>
        </w:rPr>
        <w:t>甲方、乙方</w:t>
      </w:r>
      <w:r>
        <w:rPr>
          <w:rFonts w:hint="eastAsia" w:ascii="宋体" w:hAnsi="宋体"/>
          <w:bCs/>
          <w:color w:val="000000"/>
          <w:kern w:val="80"/>
          <w:sz w:val="24"/>
        </w:rPr>
        <w:t>值班人员应取得相应等级的消防设施操作员资格，熟悉本单位的消防设施系统的基本原理、功能、操作，有能力处理简单的突发事件，发现故障及时通知</w:t>
      </w:r>
      <w:r>
        <w:rPr>
          <w:rFonts w:hint="eastAsia" w:ascii="宋体" w:hAnsi="宋体"/>
          <w:bCs/>
          <w:color w:val="000000"/>
          <w:kern w:val="80"/>
          <w:sz w:val="24"/>
          <w:lang w:eastAsia="zh-CN"/>
        </w:rPr>
        <w:t>丙方</w:t>
      </w:r>
      <w:r>
        <w:rPr>
          <w:rFonts w:hint="eastAsia" w:ascii="宋体" w:hAnsi="宋体"/>
          <w:bCs/>
          <w:color w:val="000000"/>
          <w:kern w:val="80"/>
          <w:sz w:val="24"/>
        </w:rPr>
        <w:t>。</w:t>
      </w:r>
    </w:p>
    <w:p>
      <w:pPr>
        <w:numPr>
          <w:ilvl w:val="0"/>
          <w:numId w:val="11"/>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sz w:val="24"/>
        </w:rPr>
        <w:t>必须按照消防法律法规、技术规范的要求配置各种消防设施设备，不得擅自拆卸、圈占、挪用和停用。</w:t>
      </w:r>
    </w:p>
    <w:p>
      <w:pPr>
        <w:numPr>
          <w:ilvl w:val="0"/>
          <w:numId w:val="11"/>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rPr>
        <w:t>承担建筑消防设施设备维护保养服务费用以及故障维修材料、工时费。</w:t>
      </w:r>
    </w:p>
    <w:p>
      <w:pPr>
        <w:numPr>
          <w:ilvl w:val="0"/>
          <w:numId w:val="11"/>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rPr>
        <w:t>负责提供维护保养服务所需的水、电供应；协助办理</w:t>
      </w:r>
      <w:r>
        <w:rPr>
          <w:rFonts w:hint="eastAsia" w:ascii="宋体" w:hAnsi="宋体"/>
          <w:bCs/>
          <w:color w:val="000000"/>
          <w:kern w:val="80"/>
          <w:sz w:val="24"/>
          <w:lang w:eastAsia="zh-CN"/>
        </w:rPr>
        <w:t>丙方</w:t>
      </w:r>
      <w:r>
        <w:rPr>
          <w:rFonts w:hint="eastAsia" w:ascii="宋体" w:hAnsi="宋体"/>
          <w:bCs/>
          <w:color w:val="000000"/>
          <w:kern w:val="80"/>
          <w:sz w:val="24"/>
        </w:rPr>
        <w:t>人员相关的出入证件。</w:t>
      </w:r>
    </w:p>
    <w:p>
      <w:pPr>
        <w:numPr>
          <w:ilvl w:val="0"/>
          <w:numId w:val="11"/>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rPr>
        <w:t>负责提供维护保养服务所需的登高工具。</w:t>
      </w:r>
    </w:p>
    <w:p>
      <w:pPr>
        <w:numPr>
          <w:ilvl w:val="0"/>
          <w:numId w:val="11"/>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rPr>
        <w:t>负责通知住户/租客等相关人员有关维护保养服务的工作时间，协调各方关系，以便</w:t>
      </w:r>
      <w:r>
        <w:rPr>
          <w:rFonts w:hint="eastAsia" w:ascii="宋体" w:hAnsi="宋体"/>
          <w:bCs/>
          <w:color w:val="000000"/>
          <w:kern w:val="80"/>
          <w:sz w:val="24"/>
          <w:lang w:eastAsia="zh-CN"/>
        </w:rPr>
        <w:t>丙方</w:t>
      </w:r>
      <w:r>
        <w:rPr>
          <w:rFonts w:hint="eastAsia" w:ascii="宋体" w:hAnsi="宋体"/>
          <w:bCs/>
          <w:color w:val="000000"/>
          <w:kern w:val="80"/>
          <w:sz w:val="24"/>
        </w:rPr>
        <w:t>能正常进行维护保养服务。</w:t>
      </w:r>
    </w:p>
    <w:p>
      <w:pPr>
        <w:numPr>
          <w:ilvl w:val="0"/>
          <w:numId w:val="11"/>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rPr>
        <w:t>负责日常和维护保养服务期间的安全巡查，消除安全隐患，预防火灾的发生。</w:t>
      </w:r>
    </w:p>
    <w:p>
      <w:pPr>
        <w:numPr>
          <w:ilvl w:val="0"/>
          <w:numId w:val="11"/>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rPr>
        <w:t>建筑内部装修改造涉及到改动消防设施，</w:t>
      </w:r>
      <w:r>
        <w:rPr>
          <w:rFonts w:hint="eastAsia" w:ascii="宋体" w:hAnsi="宋体"/>
          <w:bCs/>
          <w:color w:val="000000"/>
          <w:kern w:val="80"/>
          <w:sz w:val="24"/>
          <w:lang w:eastAsia="zh-CN"/>
        </w:rPr>
        <w:t>甲方、乙方</w:t>
      </w:r>
      <w:r>
        <w:rPr>
          <w:rFonts w:hint="eastAsia" w:ascii="宋体" w:hAnsi="宋体"/>
          <w:bCs/>
          <w:color w:val="000000"/>
          <w:kern w:val="80"/>
          <w:sz w:val="24"/>
        </w:rPr>
        <w:t>应及时通知</w:t>
      </w:r>
      <w:r>
        <w:rPr>
          <w:rFonts w:hint="eastAsia" w:ascii="宋体" w:hAnsi="宋体"/>
          <w:bCs/>
          <w:color w:val="000000"/>
          <w:kern w:val="80"/>
          <w:sz w:val="24"/>
          <w:lang w:eastAsia="zh-CN"/>
        </w:rPr>
        <w:t>丙方</w:t>
      </w:r>
      <w:r>
        <w:rPr>
          <w:rFonts w:hint="eastAsia" w:ascii="宋体" w:hAnsi="宋体"/>
          <w:bCs/>
          <w:color w:val="000000"/>
          <w:kern w:val="80"/>
          <w:sz w:val="24"/>
        </w:rPr>
        <w:t>。因</w:t>
      </w:r>
      <w:r>
        <w:rPr>
          <w:rFonts w:hint="eastAsia" w:ascii="宋体" w:hAnsi="宋体"/>
          <w:bCs/>
          <w:color w:val="000000"/>
          <w:kern w:val="80"/>
          <w:sz w:val="24"/>
          <w:lang w:eastAsia="zh-CN"/>
        </w:rPr>
        <w:t>甲方、乙方</w:t>
      </w:r>
      <w:r>
        <w:rPr>
          <w:rFonts w:hint="eastAsia" w:ascii="宋体" w:hAnsi="宋体"/>
          <w:bCs/>
          <w:color w:val="000000"/>
          <w:kern w:val="80"/>
          <w:sz w:val="24"/>
        </w:rPr>
        <w:t>未通知</w:t>
      </w:r>
      <w:r>
        <w:rPr>
          <w:rFonts w:hint="eastAsia" w:ascii="宋体" w:hAnsi="宋体"/>
          <w:bCs/>
          <w:color w:val="000000"/>
          <w:kern w:val="80"/>
          <w:sz w:val="24"/>
          <w:lang w:eastAsia="zh-CN"/>
        </w:rPr>
        <w:t>丙方</w:t>
      </w:r>
      <w:r>
        <w:rPr>
          <w:rFonts w:hint="eastAsia" w:ascii="宋体" w:hAnsi="宋体"/>
          <w:bCs/>
          <w:color w:val="000000"/>
          <w:kern w:val="80"/>
          <w:sz w:val="24"/>
        </w:rPr>
        <w:t>到场处理而出现故障或造成损失的，</w:t>
      </w:r>
      <w:r>
        <w:rPr>
          <w:rFonts w:hint="eastAsia" w:ascii="宋体" w:hAnsi="宋体"/>
          <w:bCs/>
          <w:color w:val="000000"/>
          <w:kern w:val="80"/>
          <w:sz w:val="24"/>
          <w:lang w:eastAsia="zh-CN"/>
        </w:rPr>
        <w:t>丙方</w:t>
      </w:r>
      <w:r>
        <w:rPr>
          <w:rFonts w:hint="eastAsia" w:ascii="宋体" w:hAnsi="宋体"/>
          <w:bCs/>
          <w:color w:val="000000"/>
          <w:kern w:val="80"/>
          <w:sz w:val="24"/>
        </w:rPr>
        <w:t>不承担责任。</w:t>
      </w:r>
    </w:p>
    <w:p>
      <w:pPr>
        <w:numPr>
          <w:ilvl w:val="0"/>
          <w:numId w:val="11"/>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lang w:eastAsia="zh-CN"/>
        </w:rPr>
        <w:t>甲方、乙方</w:t>
      </w:r>
      <w:r>
        <w:rPr>
          <w:rFonts w:hint="eastAsia" w:ascii="宋体" w:hAnsi="宋体"/>
          <w:bCs/>
          <w:color w:val="000000"/>
          <w:kern w:val="80"/>
          <w:sz w:val="24"/>
        </w:rPr>
        <w:t>应及时审批</w:t>
      </w:r>
      <w:r>
        <w:rPr>
          <w:rFonts w:hint="eastAsia" w:ascii="宋体" w:hAnsi="宋体"/>
          <w:bCs/>
          <w:color w:val="000000"/>
          <w:kern w:val="80"/>
          <w:sz w:val="24"/>
          <w:lang w:eastAsia="zh-CN"/>
        </w:rPr>
        <w:t>丙方</w:t>
      </w:r>
      <w:r>
        <w:rPr>
          <w:rFonts w:hint="eastAsia" w:ascii="宋体" w:hAnsi="宋体"/>
          <w:bCs/>
          <w:color w:val="000000"/>
          <w:kern w:val="80"/>
          <w:sz w:val="24"/>
        </w:rPr>
        <w:t>提交的报告、报价，承担没有及时整改而造成消防设施设备不能有效使用带来的相应责任。</w:t>
      </w:r>
    </w:p>
    <w:p>
      <w:pPr>
        <w:numPr>
          <w:ilvl w:val="0"/>
          <w:numId w:val="11"/>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lang w:eastAsia="zh-CN"/>
        </w:rPr>
        <w:t>甲方、乙方</w:t>
      </w:r>
      <w:r>
        <w:rPr>
          <w:rFonts w:hint="eastAsia" w:ascii="宋体" w:hAnsi="宋体"/>
          <w:bCs/>
          <w:color w:val="000000"/>
          <w:kern w:val="80"/>
          <w:sz w:val="24"/>
        </w:rPr>
        <w:t>不得自行拆卸或安装改造消防系统设备、设施及线路，否则造成损失由</w:t>
      </w:r>
      <w:r>
        <w:rPr>
          <w:rFonts w:hint="eastAsia" w:ascii="宋体" w:hAnsi="宋体"/>
          <w:bCs/>
          <w:color w:val="000000"/>
          <w:kern w:val="80"/>
          <w:sz w:val="24"/>
          <w:lang w:eastAsia="zh-CN"/>
        </w:rPr>
        <w:t>甲方、乙方</w:t>
      </w:r>
      <w:r>
        <w:rPr>
          <w:rFonts w:hint="eastAsia" w:ascii="宋体" w:hAnsi="宋体"/>
          <w:bCs/>
          <w:color w:val="000000"/>
          <w:kern w:val="80"/>
          <w:sz w:val="24"/>
        </w:rPr>
        <w:t>负责。</w:t>
      </w:r>
    </w:p>
    <w:p>
      <w:pPr>
        <w:numPr>
          <w:ilvl w:val="0"/>
          <w:numId w:val="11"/>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rPr>
        <w:t>因</w:t>
      </w:r>
      <w:r>
        <w:rPr>
          <w:rFonts w:hint="eastAsia" w:ascii="宋体" w:hAnsi="宋体"/>
          <w:bCs/>
          <w:color w:val="000000"/>
          <w:kern w:val="80"/>
          <w:sz w:val="24"/>
          <w:lang w:eastAsia="zh-CN"/>
        </w:rPr>
        <w:t>甲方、乙方</w:t>
      </w:r>
      <w:r>
        <w:rPr>
          <w:rFonts w:hint="eastAsia" w:ascii="宋体" w:hAnsi="宋体"/>
          <w:bCs/>
          <w:color w:val="000000"/>
          <w:kern w:val="80"/>
          <w:sz w:val="24"/>
        </w:rPr>
        <w:t>原因造成维护保养服务的时间变动，</w:t>
      </w:r>
      <w:r>
        <w:rPr>
          <w:rFonts w:hint="eastAsia" w:ascii="宋体" w:hAnsi="宋体"/>
          <w:bCs/>
          <w:color w:val="000000"/>
          <w:kern w:val="80"/>
          <w:sz w:val="24"/>
          <w:lang w:eastAsia="zh-CN"/>
        </w:rPr>
        <w:t>甲方、乙方</w:t>
      </w:r>
      <w:r>
        <w:rPr>
          <w:rFonts w:hint="eastAsia" w:ascii="宋体" w:hAnsi="宋体"/>
          <w:bCs/>
          <w:color w:val="000000"/>
          <w:kern w:val="80"/>
          <w:sz w:val="24"/>
        </w:rPr>
        <w:t>需提前三天通知</w:t>
      </w:r>
      <w:r>
        <w:rPr>
          <w:rFonts w:hint="eastAsia" w:ascii="宋体" w:hAnsi="宋体"/>
          <w:bCs/>
          <w:color w:val="000000"/>
          <w:kern w:val="80"/>
          <w:sz w:val="24"/>
          <w:lang w:eastAsia="zh-CN"/>
        </w:rPr>
        <w:t>丙方</w:t>
      </w:r>
      <w:r>
        <w:rPr>
          <w:rFonts w:hint="eastAsia" w:ascii="宋体" w:hAnsi="宋体"/>
          <w:bCs/>
          <w:color w:val="000000"/>
          <w:kern w:val="80"/>
          <w:sz w:val="24"/>
        </w:rPr>
        <w:t>，以便</w:t>
      </w:r>
      <w:r>
        <w:rPr>
          <w:rFonts w:hint="eastAsia" w:ascii="宋体" w:hAnsi="宋体"/>
          <w:bCs/>
          <w:color w:val="000000"/>
          <w:kern w:val="80"/>
          <w:sz w:val="24"/>
          <w:lang w:eastAsia="zh-CN"/>
        </w:rPr>
        <w:t>丙方</w:t>
      </w:r>
      <w:r>
        <w:rPr>
          <w:rFonts w:hint="eastAsia" w:ascii="宋体" w:hAnsi="宋体"/>
          <w:bCs/>
          <w:color w:val="000000"/>
          <w:kern w:val="80"/>
          <w:sz w:val="24"/>
        </w:rPr>
        <w:t>安排人员。</w:t>
      </w:r>
    </w:p>
    <w:p>
      <w:pPr>
        <w:numPr>
          <w:ilvl w:val="0"/>
          <w:numId w:val="11"/>
        </w:numPr>
        <w:snapToGrid w:val="0"/>
        <w:spacing w:line="300" w:lineRule="auto"/>
        <w:ind w:right="-21" w:rightChars="-10"/>
        <w:jc w:val="left"/>
        <w:rPr>
          <w:rFonts w:ascii="宋体" w:hAnsi="宋体"/>
          <w:bCs/>
          <w:color w:val="000000"/>
          <w:kern w:val="80"/>
          <w:sz w:val="24"/>
        </w:rPr>
      </w:pPr>
      <w:r>
        <w:rPr>
          <w:rFonts w:hint="eastAsia" w:ascii="宋体" w:hAnsi="宋体"/>
          <w:bCs/>
          <w:color w:val="000000"/>
          <w:kern w:val="80"/>
          <w:sz w:val="24"/>
          <w:lang w:eastAsia="zh-CN"/>
        </w:rPr>
        <w:t>甲方、乙方</w:t>
      </w:r>
      <w:r>
        <w:rPr>
          <w:rFonts w:hint="eastAsia" w:ascii="宋体" w:hAnsi="宋体"/>
          <w:bCs/>
          <w:color w:val="000000"/>
          <w:kern w:val="80"/>
          <w:sz w:val="24"/>
        </w:rPr>
        <w:t>应在合同签订后五个工作日内向</w:t>
      </w:r>
      <w:r>
        <w:rPr>
          <w:rFonts w:hint="eastAsia" w:ascii="宋体" w:hAnsi="宋体"/>
          <w:bCs/>
          <w:color w:val="000000"/>
          <w:kern w:val="80"/>
          <w:sz w:val="24"/>
          <w:lang w:eastAsia="zh-CN"/>
        </w:rPr>
        <w:t>丙方</w:t>
      </w:r>
      <w:r>
        <w:rPr>
          <w:rFonts w:hint="eastAsia" w:ascii="宋体" w:hAnsi="宋体"/>
          <w:bCs/>
          <w:color w:val="000000"/>
          <w:kern w:val="80"/>
          <w:sz w:val="24"/>
        </w:rPr>
        <w:t>提供如下的技术资料：</w:t>
      </w:r>
    </w:p>
    <w:p>
      <w:pPr>
        <w:numPr>
          <w:ilvl w:val="1"/>
          <w:numId w:val="11"/>
        </w:numPr>
        <w:snapToGrid w:val="0"/>
        <w:spacing w:line="300" w:lineRule="auto"/>
        <w:ind w:right="-21" w:rightChars="-10"/>
        <w:jc w:val="left"/>
        <w:rPr>
          <w:color w:val="000000"/>
          <w:sz w:val="24"/>
        </w:rPr>
      </w:pPr>
      <w:r>
        <w:rPr>
          <w:rFonts w:hint="eastAsia"/>
          <w:color w:val="000000"/>
          <w:sz w:val="24"/>
        </w:rPr>
        <w:t>竣工图：</w:t>
      </w:r>
    </w:p>
    <w:p>
      <w:pPr>
        <w:numPr>
          <w:ilvl w:val="2"/>
          <w:numId w:val="11"/>
        </w:numPr>
        <w:snapToGrid w:val="0"/>
        <w:spacing w:line="300" w:lineRule="auto"/>
        <w:ind w:right="-21" w:rightChars="-10"/>
        <w:jc w:val="left"/>
        <w:rPr>
          <w:color w:val="000000"/>
          <w:sz w:val="24"/>
        </w:rPr>
      </w:pPr>
      <w:r>
        <w:rPr>
          <w:rFonts w:hint="eastAsia"/>
          <w:color w:val="000000"/>
          <w:sz w:val="24"/>
        </w:rPr>
        <w:t>消防给水系统（含消火栓、自动喷水灭火等）竣工图（纸质或电子版）；</w:t>
      </w:r>
    </w:p>
    <w:p>
      <w:pPr>
        <w:numPr>
          <w:ilvl w:val="2"/>
          <w:numId w:val="11"/>
        </w:numPr>
        <w:snapToGrid w:val="0"/>
        <w:spacing w:line="300" w:lineRule="auto"/>
        <w:ind w:right="-21" w:rightChars="-10"/>
        <w:jc w:val="left"/>
        <w:rPr>
          <w:color w:val="000000"/>
          <w:sz w:val="24"/>
        </w:rPr>
      </w:pPr>
      <w:r>
        <w:rPr>
          <w:rFonts w:hint="eastAsia"/>
          <w:color w:val="000000"/>
          <w:sz w:val="24"/>
        </w:rPr>
        <w:t>防排烟系统竣工图（纸质或电子版）；</w:t>
      </w:r>
    </w:p>
    <w:p>
      <w:pPr>
        <w:numPr>
          <w:ilvl w:val="2"/>
          <w:numId w:val="11"/>
        </w:numPr>
        <w:snapToGrid w:val="0"/>
        <w:spacing w:line="300" w:lineRule="auto"/>
        <w:ind w:right="-21" w:rightChars="-10"/>
        <w:jc w:val="left"/>
        <w:rPr>
          <w:color w:val="000000"/>
          <w:sz w:val="24"/>
        </w:rPr>
      </w:pPr>
      <w:r>
        <w:rPr>
          <w:rFonts w:hint="eastAsia"/>
          <w:color w:val="000000"/>
          <w:sz w:val="24"/>
        </w:rPr>
        <w:t>火灾自动报警系统（含联动、紧急广播、消防电话）竣工图（纸质或电子版）等。</w:t>
      </w:r>
    </w:p>
    <w:p>
      <w:pPr>
        <w:numPr>
          <w:ilvl w:val="1"/>
          <w:numId w:val="11"/>
        </w:numPr>
        <w:snapToGrid w:val="0"/>
        <w:spacing w:line="300" w:lineRule="auto"/>
        <w:ind w:right="-21" w:rightChars="-10"/>
        <w:jc w:val="left"/>
        <w:rPr>
          <w:color w:val="000000"/>
          <w:sz w:val="24"/>
        </w:rPr>
      </w:pPr>
      <w:r>
        <w:rPr>
          <w:rFonts w:hint="eastAsia"/>
          <w:color w:val="000000"/>
          <w:sz w:val="24"/>
        </w:rPr>
        <w:t>技术资料：</w:t>
      </w:r>
    </w:p>
    <w:p>
      <w:pPr>
        <w:numPr>
          <w:ilvl w:val="2"/>
          <w:numId w:val="11"/>
        </w:numPr>
        <w:snapToGrid w:val="0"/>
        <w:spacing w:line="300" w:lineRule="auto"/>
        <w:ind w:right="-21" w:rightChars="-10"/>
        <w:jc w:val="left"/>
        <w:rPr>
          <w:color w:val="000000"/>
          <w:sz w:val="24"/>
        </w:rPr>
      </w:pPr>
      <w:r>
        <w:rPr>
          <w:rFonts w:hint="eastAsia"/>
          <w:color w:val="000000"/>
          <w:sz w:val="24"/>
        </w:rPr>
        <w:t>消防控制设备（含报警控制器、联动柜、紧急广播柜、消防电话柜、气体灭火控制柜等）的原理图、端子接线图（纸质或电子版）；</w:t>
      </w:r>
    </w:p>
    <w:p>
      <w:pPr>
        <w:numPr>
          <w:ilvl w:val="2"/>
          <w:numId w:val="11"/>
        </w:numPr>
        <w:snapToGrid w:val="0"/>
        <w:spacing w:line="300" w:lineRule="auto"/>
        <w:ind w:right="-21" w:rightChars="-10"/>
        <w:jc w:val="left"/>
        <w:rPr>
          <w:color w:val="000000"/>
          <w:sz w:val="24"/>
        </w:rPr>
      </w:pPr>
      <w:r>
        <w:rPr>
          <w:rFonts w:hint="eastAsia"/>
          <w:color w:val="000000"/>
          <w:sz w:val="24"/>
        </w:rPr>
        <w:t>消防被控设备（含消防水泵、防排烟风机、消防电梯、非消防电源等）控制柜的原理图、端子接线图（纸质或电子版）。</w:t>
      </w:r>
    </w:p>
    <w:p>
      <w:pPr>
        <w:numPr>
          <w:ilvl w:val="1"/>
          <w:numId w:val="11"/>
        </w:numPr>
        <w:snapToGrid w:val="0"/>
        <w:spacing w:line="300" w:lineRule="auto"/>
        <w:ind w:right="-21" w:rightChars="-10"/>
        <w:jc w:val="left"/>
        <w:rPr>
          <w:color w:val="000000"/>
          <w:sz w:val="24"/>
        </w:rPr>
      </w:pPr>
      <w:r>
        <w:rPr>
          <w:rFonts w:hint="eastAsia"/>
          <w:color w:val="000000"/>
          <w:sz w:val="24"/>
        </w:rPr>
        <w:t>设备资料：</w:t>
      </w:r>
    </w:p>
    <w:p>
      <w:pPr>
        <w:numPr>
          <w:ilvl w:val="2"/>
          <w:numId w:val="11"/>
        </w:numPr>
        <w:snapToGrid w:val="0"/>
        <w:spacing w:line="300" w:lineRule="auto"/>
        <w:ind w:right="-21" w:rightChars="-10"/>
        <w:jc w:val="left"/>
        <w:rPr>
          <w:color w:val="000000"/>
          <w:sz w:val="24"/>
        </w:rPr>
      </w:pPr>
      <w:r>
        <w:rPr>
          <w:rFonts w:hint="eastAsia"/>
          <w:color w:val="000000"/>
          <w:sz w:val="24"/>
        </w:rPr>
        <w:t>消防给水设备（含水泵、报警阀、压力开关、信号阀、水流指示器等）产品说明书（纸质或电子版）；</w:t>
      </w:r>
    </w:p>
    <w:p>
      <w:pPr>
        <w:numPr>
          <w:ilvl w:val="2"/>
          <w:numId w:val="11"/>
        </w:numPr>
        <w:snapToGrid w:val="0"/>
        <w:spacing w:line="300" w:lineRule="auto"/>
        <w:ind w:right="-21" w:rightChars="-10"/>
        <w:jc w:val="left"/>
        <w:rPr>
          <w:color w:val="000000"/>
          <w:sz w:val="24"/>
        </w:rPr>
      </w:pPr>
      <w:r>
        <w:rPr>
          <w:rFonts w:hint="eastAsia"/>
          <w:color w:val="000000"/>
          <w:sz w:val="24"/>
        </w:rPr>
        <w:t>灭火系统设备（含灭火剂储存装置、启动装置、选择分配装置、称重装置和警告装置等）产品说明书（纸质或电子版）。</w:t>
      </w:r>
    </w:p>
    <w:p>
      <w:pPr>
        <w:numPr>
          <w:ilvl w:val="2"/>
          <w:numId w:val="11"/>
        </w:numPr>
        <w:snapToGrid w:val="0"/>
        <w:spacing w:line="300" w:lineRule="auto"/>
        <w:ind w:right="-21" w:rightChars="-10"/>
        <w:jc w:val="left"/>
        <w:rPr>
          <w:color w:val="000000"/>
          <w:sz w:val="24"/>
        </w:rPr>
      </w:pPr>
      <w:r>
        <w:rPr>
          <w:rFonts w:hint="eastAsia"/>
          <w:color w:val="000000"/>
          <w:sz w:val="24"/>
        </w:rPr>
        <w:t>火灾报警设备（含报警控制器、各种模块或中继器、探测器、气体灭火控制柜等）产品说明书，如联动柜、事故广播、通讯柜为标准产品，亦应提供其产品说明书（纸质或电子版）；</w:t>
      </w:r>
    </w:p>
    <w:p>
      <w:pPr>
        <w:numPr>
          <w:ilvl w:val="2"/>
          <w:numId w:val="11"/>
        </w:numPr>
        <w:snapToGrid w:val="0"/>
        <w:spacing w:line="300" w:lineRule="auto"/>
        <w:ind w:right="-21" w:rightChars="-10"/>
        <w:jc w:val="left"/>
        <w:rPr>
          <w:color w:val="000000"/>
          <w:sz w:val="24"/>
        </w:rPr>
      </w:pPr>
      <w:r>
        <w:rPr>
          <w:rFonts w:hint="eastAsia"/>
          <w:color w:val="000000"/>
          <w:sz w:val="24"/>
        </w:rPr>
        <w:t>防排烟设备（含风机、风阀等）产品说明书（纸质或电子版）。</w:t>
      </w:r>
    </w:p>
    <w:p>
      <w:pPr>
        <w:numPr>
          <w:ilvl w:val="1"/>
          <w:numId w:val="11"/>
        </w:numPr>
        <w:snapToGrid w:val="0"/>
        <w:spacing w:line="300" w:lineRule="auto"/>
        <w:ind w:right="-21" w:rightChars="-10"/>
        <w:jc w:val="left"/>
        <w:rPr>
          <w:color w:val="000000"/>
          <w:sz w:val="24"/>
        </w:rPr>
      </w:pPr>
      <w:r>
        <w:rPr>
          <w:rFonts w:hint="eastAsia"/>
          <w:color w:val="000000"/>
          <w:sz w:val="24"/>
        </w:rPr>
        <w:t>文件</w:t>
      </w:r>
    </w:p>
    <w:p>
      <w:pPr>
        <w:numPr>
          <w:ilvl w:val="2"/>
          <w:numId w:val="11"/>
        </w:numPr>
        <w:snapToGrid w:val="0"/>
        <w:spacing w:line="300" w:lineRule="auto"/>
        <w:ind w:right="-21" w:rightChars="-10"/>
        <w:jc w:val="left"/>
        <w:rPr>
          <w:color w:val="000000"/>
          <w:sz w:val="24"/>
        </w:rPr>
      </w:pPr>
      <w:r>
        <w:rPr>
          <w:rFonts w:hint="eastAsia"/>
          <w:color w:val="000000"/>
          <w:sz w:val="24"/>
        </w:rPr>
        <w:t>消防设备的运转记录（纸质或电子版）；</w:t>
      </w:r>
    </w:p>
    <w:p>
      <w:pPr>
        <w:numPr>
          <w:ilvl w:val="2"/>
          <w:numId w:val="11"/>
        </w:numPr>
        <w:snapToGrid w:val="0"/>
        <w:spacing w:line="300" w:lineRule="auto"/>
        <w:ind w:right="-21" w:rightChars="-10"/>
        <w:jc w:val="left"/>
        <w:rPr>
          <w:color w:val="000000"/>
          <w:sz w:val="24"/>
        </w:rPr>
      </w:pPr>
      <w:r>
        <w:rPr>
          <w:rFonts w:hint="eastAsia"/>
          <w:color w:val="000000"/>
          <w:sz w:val="24"/>
        </w:rPr>
        <w:t>消防系统的调试报告（纸质或电子版）；</w:t>
      </w:r>
    </w:p>
    <w:p>
      <w:pPr>
        <w:numPr>
          <w:ilvl w:val="2"/>
          <w:numId w:val="11"/>
        </w:numPr>
        <w:snapToGrid w:val="0"/>
        <w:spacing w:line="300" w:lineRule="auto"/>
        <w:ind w:right="-21" w:rightChars="-10"/>
        <w:jc w:val="left"/>
        <w:rPr>
          <w:color w:val="000000"/>
          <w:sz w:val="24"/>
        </w:rPr>
      </w:pPr>
      <w:r>
        <w:rPr>
          <w:rFonts w:hint="eastAsia"/>
          <w:color w:val="000000"/>
          <w:sz w:val="24"/>
        </w:rPr>
        <w:t>报警系统编码表（纸质或电子版）等相关资料。</w:t>
      </w:r>
    </w:p>
    <w:p>
      <w:pPr>
        <w:numPr>
          <w:ilvl w:val="1"/>
          <w:numId w:val="11"/>
        </w:numPr>
        <w:snapToGrid w:val="0"/>
        <w:spacing w:line="300" w:lineRule="auto"/>
        <w:ind w:right="-21" w:rightChars="-10"/>
        <w:jc w:val="left"/>
        <w:rPr>
          <w:rFonts w:ascii="宋体" w:hAnsi="宋体"/>
          <w:sz w:val="24"/>
        </w:rPr>
      </w:pPr>
      <w:r>
        <w:rPr>
          <w:rFonts w:hint="eastAsia" w:ascii="宋体" w:hAnsi="宋体"/>
          <w:bCs/>
          <w:color w:val="000000"/>
          <w:kern w:val="80"/>
          <w:sz w:val="24"/>
          <w:lang w:eastAsia="zh-CN"/>
        </w:rPr>
        <w:t>甲方、乙方</w:t>
      </w:r>
      <w:r>
        <w:rPr>
          <w:rFonts w:hint="eastAsia" w:ascii="宋体" w:hAnsi="宋体"/>
          <w:bCs/>
          <w:color w:val="000000"/>
          <w:kern w:val="80"/>
          <w:sz w:val="24"/>
        </w:rPr>
        <w:t>负责建筑物内消防系统运行环境的安全及设施设备的防盗，禁止第三方或非专业人员操作主机，更改主机程序。如建筑物内有装修工程涉及消防设施设备改造调整的，优先由</w:t>
      </w:r>
      <w:r>
        <w:rPr>
          <w:rFonts w:hint="eastAsia" w:ascii="宋体" w:hAnsi="宋体"/>
          <w:bCs/>
          <w:color w:val="000000"/>
          <w:kern w:val="80"/>
          <w:sz w:val="24"/>
          <w:lang w:eastAsia="zh-CN"/>
        </w:rPr>
        <w:t>丙方</w:t>
      </w:r>
      <w:r>
        <w:rPr>
          <w:rFonts w:hint="eastAsia" w:ascii="宋体" w:hAnsi="宋体"/>
          <w:bCs/>
          <w:color w:val="000000"/>
          <w:kern w:val="80"/>
          <w:sz w:val="24"/>
        </w:rPr>
        <w:t>进行施工改造。其他单位改动调整消防设施需经过</w:t>
      </w:r>
      <w:r>
        <w:rPr>
          <w:rFonts w:hint="eastAsia" w:ascii="宋体" w:hAnsi="宋体"/>
          <w:bCs/>
          <w:color w:val="000000"/>
          <w:kern w:val="80"/>
          <w:sz w:val="24"/>
          <w:lang w:eastAsia="zh-CN"/>
        </w:rPr>
        <w:t>丙方</w:t>
      </w:r>
      <w:r>
        <w:rPr>
          <w:rFonts w:hint="eastAsia" w:ascii="宋体" w:hAnsi="宋体"/>
          <w:bCs/>
          <w:color w:val="000000"/>
          <w:kern w:val="80"/>
          <w:sz w:val="24"/>
        </w:rPr>
        <w:t>同意，并在</w:t>
      </w:r>
      <w:r>
        <w:rPr>
          <w:rFonts w:hint="eastAsia" w:ascii="宋体" w:hAnsi="宋体"/>
          <w:bCs/>
          <w:color w:val="000000"/>
          <w:kern w:val="80"/>
          <w:sz w:val="24"/>
          <w:lang w:eastAsia="zh-CN"/>
        </w:rPr>
        <w:t>丙方</w:t>
      </w:r>
      <w:r>
        <w:rPr>
          <w:rFonts w:hint="eastAsia" w:ascii="宋体" w:hAnsi="宋体"/>
          <w:bCs/>
          <w:color w:val="000000"/>
          <w:kern w:val="80"/>
          <w:sz w:val="24"/>
        </w:rPr>
        <w:t>指导下完成对消防系统的改动，确保建筑物内消防系统运行正常。</w:t>
      </w:r>
    </w:p>
    <w:p>
      <w:pPr>
        <w:numPr>
          <w:ilvl w:val="1"/>
          <w:numId w:val="11"/>
        </w:numPr>
        <w:snapToGrid w:val="0"/>
        <w:spacing w:line="300" w:lineRule="auto"/>
        <w:ind w:right="-21" w:rightChars="-10"/>
        <w:jc w:val="left"/>
        <w:rPr>
          <w:rFonts w:ascii="宋体" w:hAnsi="宋体"/>
          <w:sz w:val="24"/>
        </w:rPr>
      </w:pPr>
      <w:r>
        <w:rPr>
          <w:rFonts w:hint="eastAsia" w:ascii="宋体" w:hAnsi="宋体"/>
          <w:sz w:val="24"/>
          <w:lang w:eastAsia="zh-CN"/>
        </w:rPr>
        <w:t>甲方、乙方</w:t>
      </w:r>
      <w:r>
        <w:rPr>
          <w:rFonts w:hint="eastAsia" w:ascii="宋体" w:hAnsi="宋体"/>
          <w:sz w:val="24"/>
        </w:rPr>
        <w:t>应提供</w:t>
      </w:r>
      <w:r>
        <w:rPr>
          <w:rFonts w:hint="eastAsia" w:ascii="宋体" w:hAnsi="宋体"/>
          <w:sz w:val="24"/>
          <w:lang w:eastAsia="zh-CN"/>
        </w:rPr>
        <w:t>丙方</w:t>
      </w:r>
      <w:r>
        <w:rPr>
          <w:rFonts w:hint="eastAsia" w:ascii="宋体" w:hAnsi="宋体"/>
          <w:sz w:val="24"/>
        </w:rPr>
        <w:t>履行本合同所必</w:t>
      </w:r>
      <w:r>
        <w:rPr>
          <w:rFonts w:hint="eastAsia" w:ascii="宋体" w:hAnsi="宋体"/>
          <w:sz w:val="24"/>
          <w:lang w:val="en-US" w:eastAsia="zh-CN"/>
        </w:rPr>
        <w:t>需</w:t>
      </w:r>
      <w:r>
        <w:rPr>
          <w:rFonts w:hint="eastAsia" w:ascii="宋体" w:hAnsi="宋体"/>
          <w:sz w:val="24"/>
        </w:rPr>
        <w:t>的基本工作环境及水电条件，否则因此导致</w:t>
      </w:r>
      <w:r>
        <w:rPr>
          <w:rFonts w:hint="eastAsia" w:ascii="宋体" w:hAnsi="宋体"/>
          <w:sz w:val="24"/>
          <w:lang w:eastAsia="zh-CN"/>
        </w:rPr>
        <w:t>丙方</w:t>
      </w:r>
      <w:r>
        <w:rPr>
          <w:rFonts w:hint="eastAsia" w:ascii="宋体" w:hAnsi="宋体"/>
          <w:sz w:val="24"/>
        </w:rPr>
        <w:t>无法履行本合同的，</w:t>
      </w:r>
      <w:r>
        <w:rPr>
          <w:rFonts w:hint="eastAsia" w:ascii="宋体" w:hAnsi="宋体"/>
          <w:sz w:val="24"/>
          <w:lang w:eastAsia="zh-CN"/>
        </w:rPr>
        <w:t>丙方</w:t>
      </w:r>
      <w:r>
        <w:rPr>
          <w:rFonts w:hint="eastAsia" w:ascii="宋体" w:hAnsi="宋体"/>
          <w:sz w:val="24"/>
        </w:rPr>
        <w:t>不承担违约责任，并视为本合同因</w:t>
      </w:r>
      <w:r>
        <w:rPr>
          <w:rFonts w:hint="eastAsia" w:ascii="宋体" w:hAnsi="宋体"/>
          <w:sz w:val="24"/>
          <w:lang w:eastAsia="zh-CN"/>
        </w:rPr>
        <w:t>甲方、乙方</w:t>
      </w:r>
      <w:r>
        <w:rPr>
          <w:rFonts w:hint="eastAsia" w:ascii="宋体" w:hAnsi="宋体"/>
          <w:sz w:val="24"/>
        </w:rPr>
        <w:t>原因中止。</w:t>
      </w:r>
    </w:p>
    <w:p>
      <w:pPr>
        <w:numPr>
          <w:ilvl w:val="1"/>
          <w:numId w:val="11"/>
        </w:numPr>
        <w:snapToGrid w:val="0"/>
        <w:spacing w:line="300" w:lineRule="auto"/>
        <w:ind w:right="-21" w:rightChars="-10"/>
        <w:jc w:val="left"/>
        <w:rPr>
          <w:rFonts w:ascii="宋体" w:hAnsi="宋体"/>
          <w:sz w:val="24"/>
        </w:rPr>
      </w:pPr>
      <w:r>
        <w:rPr>
          <w:rFonts w:hint="eastAsia" w:ascii="宋体" w:hAnsi="宋体"/>
          <w:sz w:val="24"/>
          <w:lang w:eastAsia="zh-CN"/>
        </w:rPr>
        <w:t>甲方、乙方</w:t>
      </w:r>
      <w:r>
        <w:rPr>
          <w:rFonts w:hint="eastAsia" w:ascii="宋体" w:hAnsi="宋体"/>
          <w:sz w:val="24"/>
        </w:rPr>
        <w:t>擅自无理提前解除或终止本合同的，除需支付</w:t>
      </w:r>
      <w:r>
        <w:rPr>
          <w:rFonts w:hint="eastAsia" w:ascii="宋体" w:hAnsi="宋体"/>
          <w:sz w:val="24"/>
          <w:lang w:eastAsia="zh-CN"/>
        </w:rPr>
        <w:t>丙方</w:t>
      </w:r>
      <w:r>
        <w:rPr>
          <w:rFonts w:hint="eastAsia" w:ascii="宋体" w:hAnsi="宋体"/>
          <w:sz w:val="24"/>
        </w:rPr>
        <w:t>正常履行本合同所对应的费用外，另需按照本合同维护保养服务费总金额之20%的标准向</w:t>
      </w:r>
      <w:r>
        <w:rPr>
          <w:rFonts w:hint="eastAsia" w:ascii="宋体" w:hAnsi="宋体"/>
          <w:sz w:val="24"/>
          <w:lang w:eastAsia="zh-CN"/>
        </w:rPr>
        <w:t>丙方</w:t>
      </w:r>
      <w:r>
        <w:rPr>
          <w:rFonts w:hint="eastAsia" w:ascii="宋体" w:hAnsi="宋体"/>
          <w:sz w:val="24"/>
        </w:rPr>
        <w:t>支付违约金。</w:t>
      </w:r>
    </w:p>
    <w:p>
      <w:pPr>
        <w:snapToGrid w:val="0"/>
        <w:spacing w:line="300" w:lineRule="auto"/>
        <w:ind w:right="-21" w:rightChars="-10"/>
        <w:jc w:val="left"/>
        <w:rPr>
          <w:rFonts w:ascii="宋体" w:hAnsi="宋体" w:cs="宋体"/>
          <w:b/>
          <w:bCs/>
          <w:color w:val="000000"/>
          <w:kern w:val="0"/>
          <w:sz w:val="24"/>
        </w:rPr>
      </w:pPr>
      <w:r>
        <w:rPr>
          <w:rFonts w:hint="eastAsia" w:ascii="宋体" w:hAnsi="宋体" w:cs="宋体"/>
          <w:b/>
          <w:bCs/>
          <w:sz w:val="24"/>
        </w:rPr>
        <w:t>八、</w:t>
      </w:r>
      <w:r>
        <w:rPr>
          <w:rFonts w:hint="eastAsia" w:ascii="宋体" w:hAnsi="宋体"/>
          <w:b/>
          <w:color w:val="000000"/>
          <w:kern w:val="80"/>
          <w:sz w:val="24"/>
          <w:lang w:eastAsia="zh-CN"/>
        </w:rPr>
        <w:t>丙方</w:t>
      </w:r>
      <w:r>
        <w:rPr>
          <w:rFonts w:hint="eastAsia" w:ascii="宋体" w:hAnsi="宋体"/>
          <w:b/>
          <w:color w:val="000000"/>
          <w:sz w:val="24"/>
        </w:rPr>
        <w:t>责任与义务</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lang w:eastAsia="zh-CN"/>
        </w:rPr>
        <w:t>丙方</w:t>
      </w:r>
      <w:r>
        <w:rPr>
          <w:rFonts w:hint="eastAsia" w:ascii="宋体" w:hAnsi="宋体"/>
          <w:bCs/>
          <w:color w:val="000000"/>
          <w:kern w:val="80"/>
          <w:sz w:val="24"/>
        </w:rPr>
        <w:t>委任：</w:t>
      </w:r>
      <w:r>
        <w:rPr>
          <w:rFonts w:hint="eastAsia" w:ascii="宋体" w:hAnsi="宋体"/>
          <w:bCs/>
          <w:color w:val="000000"/>
          <w:kern w:val="80"/>
          <w:sz w:val="24"/>
          <w:lang w:val="en-US" w:eastAsia="zh-CN"/>
        </w:rPr>
        <w:t xml:space="preserve"> </w:t>
      </w:r>
      <w:r>
        <w:rPr>
          <w:rFonts w:hint="eastAsia" w:ascii="宋体" w:hAnsi="宋体"/>
          <w:bCs/>
          <w:color w:val="000000"/>
          <w:kern w:val="80"/>
          <w:sz w:val="24"/>
          <w:u w:val="single"/>
        </w:rPr>
        <w:t xml:space="preserve"> </w:t>
      </w:r>
      <w:r>
        <w:rPr>
          <w:rFonts w:hint="eastAsia" w:ascii="宋体" w:hAnsi="宋体"/>
          <w:bCs/>
          <w:color w:val="000000"/>
          <w:kern w:val="80"/>
          <w:sz w:val="24"/>
          <w:u w:val="single"/>
          <w:lang w:eastAsia="zh-CN"/>
        </w:rPr>
        <w:t>（</w:t>
      </w:r>
      <w:r>
        <w:rPr>
          <w:rFonts w:hint="eastAsia" w:ascii="宋体" w:hAnsi="宋体"/>
          <w:bCs/>
          <w:color w:val="000000"/>
          <w:kern w:val="80"/>
          <w:sz w:val="24"/>
          <w:u w:val="none"/>
          <w:lang w:val="en-US" w:eastAsia="zh-CN"/>
        </w:rPr>
        <w:t>联系方式：</w:t>
      </w:r>
      <w:r>
        <w:rPr>
          <w:rFonts w:hint="eastAsia" w:ascii="宋体" w:hAnsi="宋体"/>
          <w:bCs/>
          <w:color w:val="000000"/>
          <w:kern w:val="80"/>
          <w:sz w:val="24"/>
          <w:u w:val="single"/>
          <w:lang w:val="en-US" w:eastAsia="zh-CN"/>
        </w:rPr>
        <w:t xml:space="preserve">     </w:t>
      </w:r>
      <w:r>
        <w:rPr>
          <w:rFonts w:hint="eastAsia" w:ascii="宋体" w:hAnsi="宋体"/>
          <w:bCs/>
          <w:color w:val="000000"/>
          <w:kern w:val="80"/>
          <w:sz w:val="24"/>
          <w:u w:val="none"/>
          <w:lang w:val="en-US" w:eastAsia="zh-CN"/>
        </w:rPr>
        <w:t>）</w:t>
      </w:r>
      <w:r>
        <w:rPr>
          <w:rFonts w:hint="eastAsia" w:ascii="宋体" w:hAnsi="宋体"/>
          <w:bCs/>
          <w:color w:val="000000"/>
          <w:kern w:val="80"/>
          <w:sz w:val="24"/>
        </w:rPr>
        <w:t>为该项目</w:t>
      </w:r>
      <w:r>
        <w:rPr>
          <w:rFonts w:hint="eastAsia" w:ascii="宋体" w:hAnsi="宋体"/>
          <w:bCs/>
          <w:color w:val="000000"/>
          <w:kern w:val="80"/>
          <w:sz w:val="24"/>
          <w:lang w:val="en-US" w:eastAsia="zh-CN"/>
        </w:rPr>
        <w:t>的项目</w:t>
      </w:r>
      <w:r>
        <w:rPr>
          <w:rFonts w:hint="eastAsia" w:ascii="宋体" w:hAnsi="宋体"/>
          <w:bCs/>
          <w:color w:val="000000"/>
          <w:kern w:val="80"/>
          <w:sz w:val="24"/>
        </w:rPr>
        <w:t>负责人</w:t>
      </w:r>
      <w:r>
        <w:rPr>
          <w:rFonts w:hint="eastAsia" w:ascii="宋体" w:hAnsi="宋体"/>
          <w:bCs/>
          <w:color w:val="000000"/>
          <w:kern w:val="80"/>
          <w:sz w:val="24"/>
          <w:lang w:eastAsia="zh-CN"/>
        </w:rPr>
        <w:t>，</w:t>
      </w:r>
      <w:r>
        <w:rPr>
          <w:rFonts w:hint="eastAsia" w:ascii="宋体" w:hAnsi="宋体"/>
          <w:bCs/>
          <w:color w:val="000000"/>
          <w:kern w:val="80"/>
          <w:sz w:val="24"/>
        </w:rPr>
        <w:t>负责本合同的履行和协调，</w:t>
      </w:r>
      <w:r>
        <w:rPr>
          <w:rFonts w:hint="eastAsia" w:ascii="宋体" w:hAnsi="宋体"/>
          <w:bCs/>
          <w:color w:val="000000"/>
          <w:kern w:val="80"/>
          <w:sz w:val="24"/>
          <w:lang w:eastAsia="zh-CN"/>
        </w:rPr>
        <w:t>丙方</w:t>
      </w:r>
      <w:r>
        <w:rPr>
          <w:rFonts w:hint="eastAsia" w:ascii="宋体" w:hAnsi="宋体"/>
          <w:bCs/>
          <w:color w:val="000000"/>
          <w:kern w:val="80"/>
          <w:sz w:val="24"/>
        </w:rPr>
        <w:t>的代表人必须由具备相关消防专业知识的人员担任，若</w:t>
      </w:r>
      <w:r>
        <w:rPr>
          <w:rFonts w:hint="eastAsia" w:ascii="宋体" w:hAnsi="宋体"/>
          <w:bCs/>
          <w:color w:val="000000"/>
          <w:kern w:val="80"/>
          <w:sz w:val="24"/>
          <w:lang w:eastAsia="zh-CN"/>
        </w:rPr>
        <w:t>丙方</w:t>
      </w:r>
      <w:r>
        <w:rPr>
          <w:rFonts w:hint="eastAsia" w:ascii="宋体" w:hAnsi="宋体"/>
          <w:bCs/>
          <w:color w:val="000000"/>
          <w:kern w:val="80"/>
          <w:sz w:val="24"/>
        </w:rPr>
        <w:t>代表变更,须提前七天通知</w:t>
      </w:r>
      <w:r>
        <w:rPr>
          <w:rFonts w:hint="eastAsia" w:ascii="宋体" w:hAnsi="宋体"/>
          <w:bCs/>
          <w:color w:val="000000"/>
          <w:kern w:val="80"/>
          <w:sz w:val="24"/>
          <w:lang w:eastAsia="zh-CN"/>
        </w:rPr>
        <w:t>甲方、乙方</w:t>
      </w:r>
      <w:r>
        <w:rPr>
          <w:rFonts w:hint="eastAsia" w:ascii="宋体" w:hAnsi="宋体"/>
          <w:bCs/>
          <w:color w:val="000000"/>
          <w:kern w:val="80"/>
          <w:sz w:val="24"/>
        </w:rPr>
        <w:t>,其接任者必须全权承接前任应负的责任。</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lang w:eastAsia="zh-CN"/>
        </w:rPr>
        <w:t>丙方</w:t>
      </w:r>
      <w:r>
        <w:rPr>
          <w:rFonts w:hint="eastAsia" w:ascii="宋体" w:hAnsi="宋体"/>
          <w:bCs/>
          <w:color w:val="000000"/>
          <w:kern w:val="80"/>
          <w:sz w:val="24"/>
        </w:rPr>
        <w:t>须符合《社会消防技术服务管理规定》中消防技术服务机构的从业条件要求，认真贯彻执行有关消防法律、法规和技术规范，遵守科学和职业道德规范，依法开展建筑消防设施维护保养服务，保证维护保养后的建筑消防设施质量满足相关标准要求。</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lang w:eastAsia="zh-CN"/>
        </w:rPr>
        <w:t>丙方</w:t>
      </w:r>
      <w:r>
        <w:rPr>
          <w:rFonts w:hint="eastAsia" w:ascii="宋体" w:hAnsi="宋体"/>
          <w:bCs/>
          <w:color w:val="000000"/>
          <w:kern w:val="80"/>
          <w:sz w:val="24"/>
        </w:rPr>
        <w:t>负责根据《建筑消防设施</w:t>
      </w:r>
      <w:r>
        <w:rPr>
          <w:rFonts w:hint="eastAsia" w:ascii="宋体" w:hAnsi="宋体"/>
          <w:bCs/>
          <w:kern w:val="80"/>
          <w:sz w:val="24"/>
        </w:rPr>
        <w:t>检测</w:t>
      </w:r>
      <w:r>
        <w:rPr>
          <w:rFonts w:hint="eastAsia" w:ascii="宋体" w:hAnsi="宋体"/>
          <w:bCs/>
          <w:color w:val="000000"/>
          <w:kern w:val="80"/>
          <w:sz w:val="24"/>
        </w:rPr>
        <w:t>技术规程》《建筑消防设施的维护管理》等相关规范提供专业的建筑消防设施维护保养服务，</w:t>
      </w:r>
      <w:r>
        <w:rPr>
          <w:rFonts w:hint="eastAsia" w:ascii="宋体" w:hAnsi="宋体"/>
          <w:bCs/>
          <w:color w:val="000000"/>
          <w:kern w:val="80"/>
          <w:sz w:val="24"/>
          <w:lang w:eastAsia="zh-CN"/>
        </w:rPr>
        <w:t>丙方</w:t>
      </w:r>
      <w:r>
        <w:rPr>
          <w:rFonts w:hint="eastAsia" w:ascii="宋体" w:hAnsi="宋体"/>
          <w:bCs/>
          <w:color w:val="000000"/>
          <w:kern w:val="80"/>
          <w:sz w:val="24"/>
        </w:rPr>
        <w:t>派出的技术人员具备相应资质、资格，掌握所承接建筑消防设施系统的原理、功能，以及操作方法，能处理各种突发事件。</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lang w:eastAsia="zh-CN"/>
        </w:rPr>
        <w:t>丙方</w:t>
      </w:r>
      <w:r>
        <w:rPr>
          <w:rFonts w:hint="eastAsia" w:ascii="宋体" w:hAnsi="宋体"/>
          <w:bCs/>
          <w:color w:val="000000"/>
          <w:kern w:val="80"/>
          <w:sz w:val="24"/>
        </w:rPr>
        <w:t>消防技术人员应遵守</w:t>
      </w:r>
      <w:r>
        <w:rPr>
          <w:rFonts w:hint="eastAsia" w:ascii="宋体" w:hAnsi="宋体"/>
          <w:bCs/>
          <w:color w:val="000000"/>
          <w:kern w:val="80"/>
          <w:sz w:val="24"/>
          <w:lang w:eastAsia="zh-CN"/>
        </w:rPr>
        <w:t>甲方、乙方</w:t>
      </w:r>
      <w:r>
        <w:rPr>
          <w:rFonts w:hint="eastAsia" w:ascii="宋体" w:hAnsi="宋体"/>
          <w:bCs/>
          <w:color w:val="000000"/>
          <w:kern w:val="80"/>
          <w:sz w:val="24"/>
        </w:rPr>
        <w:t>的各项规章制度和操作规程，配合</w:t>
      </w:r>
      <w:r>
        <w:rPr>
          <w:rFonts w:hint="eastAsia" w:ascii="宋体" w:hAnsi="宋体"/>
          <w:bCs/>
          <w:color w:val="000000"/>
          <w:kern w:val="80"/>
          <w:sz w:val="24"/>
          <w:lang w:eastAsia="zh-CN"/>
        </w:rPr>
        <w:t>甲方、乙方</w:t>
      </w:r>
      <w:r>
        <w:rPr>
          <w:rFonts w:hint="eastAsia" w:ascii="宋体" w:hAnsi="宋体"/>
          <w:bCs/>
          <w:color w:val="000000"/>
          <w:kern w:val="80"/>
          <w:sz w:val="24"/>
        </w:rPr>
        <w:t>的工作安排。</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rPr>
        <w:t>当接到故障报告后立即响应，派遣技术人员</w:t>
      </w:r>
      <w:r>
        <w:rPr>
          <w:rFonts w:hint="eastAsia" w:ascii="宋体" w:hAnsi="宋体"/>
          <w:bCs/>
          <w:color w:val="000000"/>
          <w:kern w:val="80"/>
          <w:sz w:val="24"/>
          <w:lang w:val="en-US" w:eastAsia="zh-CN"/>
        </w:rPr>
        <w:t>24</w:t>
      </w:r>
      <w:r>
        <w:rPr>
          <w:rFonts w:hint="eastAsia" w:ascii="宋体" w:hAnsi="宋体"/>
          <w:bCs/>
          <w:color w:val="000000"/>
          <w:kern w:val="80"/>
          <w:sz w:val="24"/>
        </w:rPr>
        <w:t>小时内（紧急情况</w:t>
      </w:r>
      <w:r>
        <w:rPr>
          <w:rFonts w:ascii="宋体" w:hAnsi="宋体"/>
          <w:bCs/>
          <w:color w:val="000000"/>
          <w:kern w:val="80"/>
          <w:sz w:val="24"/>
        </w:rPr>
        <w:t>4</w:t>
      </w:r>
      <w:r>
        <w:rPr>
          <w:rFonts w:hint="eastAsia" w:ascii="宋体" w:hAnsi="宋体"/>
          <w:bCs/>
          <w:color w:val="000000"/>
          <w:kern w:val="80"/>
          <w:sz w:val="24"/>
        </w:rPr>
        <w:t>小时内）到现场确认存在问题和故障的消防设施设备（特殊情况除外），并提出修复方案。</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rPr>
        <w:t>建筑消防设施维护保养服务期间确需暂时停用消防系统的，必须报经</w:t>
      </w:r>
      <w:r>
        <w:rPr>
          <w:rFonts w:hint="eastAsia" w:ascii="宋体" w:hAnsi="宋体"/>
          <w:bCs/>
          <w:color w:val="000000"/>
          <w:kern w:val="80"/>
          <w:sz w:val="24"/>
          <w:lang w:eastAsia="zh-CN"/>
        </w:rPr>
        <w:t>甲方、乙方</w:t>
      </w:r>
      <w:r>
        <w:rPr>
          <w:rFonts w:hint="eastAsia" w:ascii="宋体" w:hAnsi="宋体"/>
          <w:bCs/>
          <w:color w:val="000000"/>
          <w:kern w:val="80"/>
          <w:sz w:val="24"/>
        </w:rPr>
        <w:t>代表批准（提醒）；故障排除后要进行相应功能试验并报经</w:t>
      </w:r>
      <w:r>
        <w:rPr>
          <w:rFonts w:hint="eastAsia" w:ascii="宋体" w:hAnsi="宋体"/>
          <w:bCs/>
          <w:color w:val="000000"/>
          <w:kern w:val="80"/>
          <w:sz w:val="24"/>
          <w:lang w:eastAsia="zh-CN"/>
        </w:rPr>
        <w:t>甲方、乙方</w:t>
      </w:r>
      <w:r>
        <w:rPr>
          <w:rFonts w:hint="eastAsia" w:ascii="宋体" w:hAnsi="宋体"/>
          <w:bCs/>
          <w:color w:val="000000"/>
          <w:kern w:val="80"/>
          <w:sz w:val="24"/>
        </w:rPr>
        <w:t>代表检查确认。</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rPr>
        <w:t>在维护保养服务中发现因自然或老化损坏需要更换的材料、设备及配件，不能满足有效使用或影响系统正常运行，</w:t>
      </w:r>
      <w:r>
        <w:rPr>
          <w:rFonts w:hint="eastAsia" w:ascii="宋体" w:hAnsi="宋体"/>
          <w:bCs/>
          <w:color w:val="000000"/>
          <w:kern w:val="80"/>
          <w:sz w:val="24"/>
          <w:lang w:eastAsia="zh-CN"/>
        </w:rPr>
        <w:t>丙方</w:t>
      </w:r>
      <w:r>
        <w:rPr>
          <w:rFonts w:hint="eastAsia" w:ascii="宋体" w:hAnsi="宋体"/>
          <w:bCs/>
          <w:color w:val="000000"/>
          <w:kern w:val="80"/>
          <w:sz w:val="24"/>
        </w:rPr>
        <w:t>应及时向</w:t>
      </w:r>
      <w:r>
        <w:rPr>
          <w:rFonts w:hint="eastAsia" w:ascii="宋体" w:hAnsi="宋体"/>
          <w:bCs/>
          <w:color w:val="000000"/>
          <w:kern w:val="80"/>
          <w:sz w:val="24"/>
          <w:lang w:eastAsia="zh-CN"/>
        </w:rPr>
        <w:t>甲方、乙方</w:t>
      </w:r>
      <w:r>
        <w:rPr>
          <w:rFonts w:hint="eastAsia" w:ascii="宋体" w:hAnsi="宋体"/>
          <w:bCs/>
          <w:color w:val="000000"/>
          <w:kern w:val="80"/>
          <w:sz w:val="24"/>
        </w:rPr>
        <w:t>提出书面意见，以便及时得到更换。</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lang w:eastAsia="zh-CN"/>
        </w:rPr>
        <w:t>丙方</w:t>
      </w:r>
      <w:r>
        <w:rPr>
          <w:rFonts w:hint="eastAsia" w:ascii="宋体" w:hAnsi="宋体"/>
          <w:bCs/>
          <w:color w:val="000000"/>
          <w:kern w:val="80"/>
          <w:sz w:val="24"/>
        </w:rPr>
        <w:t>在日常消防设施维护保养服务过程中发现的设备故障、火灾隐患等问题，须以书面报告的形式通知</w:t>
      </w:r>
      <w:r>
        <w:rPr>
          <w:rFonts w:hint="eastAsia" w:ascii="宋体" w:hAnsi="宋体"/>
          <w:bCs/>
          <w:color w:val="000000"/>
          <w:kern w:val="80"/>
          <w:sz w:val="24"/>
          <w:lang w:eastAsia="zh-CN"/>
        </w:rPr>
        <w:t>甲方、乙方</w:t>
      </w:r>
      <w:r>
        <w:rPr>
          <w:rFonts w:hint="eastAsia" w:ascii="宋体" w:hAnsi="宋体"/>
          <w:bCs/>
          <w:color w:val="000000"/>
          <w:kern w:val="80"/>
          <w:sz w:val="24"/>
        </w:rPr>
        <w:t>，</w:t>
      </w:r>
      <w:r>
        <w:rPr>
          <w:rFonts w:hint="eastAsia" w:ascii="宋体" w:hAnsi="宋体"/>
          <w:bCs/>
          <w:color w:val="000000"/>
          <w:kern w:val="80"/>
          <w:sz w:val="24"/>
          <w:lang w:eastAsia="zh-CN"/>
        </w:rPr>
        <w:t>甲方、乙方</w:t>
      </w:r>
      <w:r>
        <w:rPr>
          <w:rFonts w:hint="eastAsia" w:ascii="宋体" w:hAnsi="宋体"/>
          <w:bCs/>
          <w:color w:val="000000"/>
          <w:kern w:val="80"/>
          <w:sz w:val="24"/>
        </w:rPr>
        <w:t>须及时回复并按要求进行整改。因</w:t>
      </w:r>
      <w:r>
        <w:rPr>
          <w:rFonts w:hint="eastAsia" w:ascii="宋体" w:hAnsi="宋体"/>
          <w:bCs/>
          <w:color w:val="000000"/>
          <w:kern w:val="80"/>
          <w:sz w:val="24"/>
          <w:lang w:eastAsia="zh-CN"/>
        </w:rPr>
        <w:t>甲方、乙方</w:t>
      </w:r>
      <w:r>
        <w:rPr>
          <w:rFonts w:hint="eastAsia" w:ascii="宋体" w:hAnsi="宋体"/>
          <w:bCs/>
          <w:color w:val="000000"/>
          <w:kern w:val="80"/>
          <w:sz w:val="24"/>
        </w:rPr>
        <w:t>未整改导致的安全责任、经济责任均由</w:t>
      </w:r>
      <w:r>
        <w:rPr>
          <w:rFonts w:hint="eastAsia" w:ascii="宋体" w:hAnsi="宋体"/>
          <w:bCs/>
          <w:color w:val="000000"/>
          <w:kern w:val="80"/>
          <w:sz w:val="24"/>
          <w:lang w:eastAsia="zh-CN"/>
        </w:rPr>
        <w:t>甲方、乙方</w:t>
      </w:r>
      <w:r>
        <w:rPr>
          <w:rFonts w:hint="eastAsia" w:ascii="宋体" w:hAnsi="宋体"/>
          <w:bCs/>
          <w:color w:val="000000"/>
          <w:kern w:val="80"/>
          <w:sz w:val="24"/>
        </w:rPr>
        <w:t>自行承担，与</w:t>
      </w:r>
      <w:r>
        <w:rPr>
          <w:rFonts w:hint="eastAsia" w:ascii="宋体" w:hAnsi="宋体"/>
          <w:bCs/>
          <w:color w:val="000000"/>
          <w:kern w:val="80"/>
          <w:sz w:val="24"/>
          <w:lang w:eastAsia="zh-CN"/>
        </w:rPr>
        <w:t>丙方</w:t>
      </w:r>
      <w:r>
        <w:rPr>
          <w:rFonts w:hint="eastAsia" w:ascii="宋体" w:hAnsi="宋体"/>
          <w:bCs/>
          <w:color w:val="000000"/>
          <w:kern w:val="80"/>
          <w:sz w:val="24"/>
        </w:rPr>
        <w:t>无关。同时在重大安全隐患问题上，</w:t>
      </w:r>
      <w:r>
        <w:rPr>
          <w:rFonts w:hint="eastAsia" w:ascii="宋体" w:hAnsi="宋体"/>
          <w:bCs/>
          <w:color w:val="000000"/>
          <w:kern w:val="80"/>
          <w:sz w:val="24"/>
          <w:lang w:eastAsia="zh-CN"/>
        </w:rPr>
        <w:t>丙方</w:t>
      </w:r>
      <w:r>
        <w:rPr>
          <w:rFonts w:hint="eastAsia" w:ascii="宋体" w:hAnsi="宋体"/>
          <w:bCs/>
          <w:color w:val="000000"/>
          <w:kern w:val="80"/>
          <w:sz w:val="24"/>
        </w:rPr>
        <w:t>书面报告</w:t>
      </w:r>
      <w:r>
        <w:rPr>
          <w:rFonts w:hint="eastAsia" w:ascii="宋体" w:hAnsi="宋体"/>
          <w:bCs/>
          <w:color w:val="000000"/>
          <w:kern w:val="80"/>
          <w:sz w:val="24"/>
          <w:lang w:eastAsia="zh-CN"/>
        </w:rPr>
        <w:t>甲方、乙方</w:t>
      </w:r>
      <w:r>
        <w:rPr>
          <w:rFonts w:hint="eastAsia" w:ascii="宋体" w:hAnsi="宋体"/>
          <w:bCs/>
          <w:color w:val="000000"/>
          <w:kern w:val="80"/>
          <w:sz w:val="24"/>
        </w:rPr>
        <w:t>达三次（含）以上，</w:t>
      </w:r>
      <w:r>
        <w:rPr>
          <w:rFonts w:hint="eastAsia" w:ascii="宋体" w:hAnsi="宋体"/>
          <w:bCs/>
          <w:color w:val="000000"/>
          <w:kern w:val="80"/>
          <w:sz w:val="24"/>
          <w:lang w:eastAsia="zh-CN"/>
        </w:rPr>
        <w:t>甲方、乙方</w:t>
      </w:r>
      <w:r>
        <w:rPr>
          <w:rFonts w:hint="eastAsia" w:ascii="宋体" w:hAnsi="宋体"/>
          <w:bCs/>
          <w:color w:val="000000"/>
          <w:kern w:val="80"/>
          <w:sz w:val="24"/>
        </w:rPr>
        <w:t>仍未整改的，</w:t>
      </w:r>
      <w:r>
        <w:rPr>
          <w:rFonts w:hint="eastAsia" w:ascii="宋体" w:hAnsi="宋体"/>
          <w:bCs/>
          <w:color w:val="000000"/>
          <w:kern w:val="80"/>
          <w:sz w:val="24"/>
          <w:lang w:eastAsia="zh-CN"/>
        </w:rPr>
        <w:t>丙方</w:t>
      </w:r>
      <w:r>
        <w:rPr>
          <w:rFonts w:hint="eastAsia" w:ascii="宋体" w:hAnsi="宋体"/>
          <w:bCs/>
          <w:color w:val="000000"/>
          <w:kern w:val="80"/>
          <w:sz w:val="24"/>
        </w:rPr>
        <w:t>有权单方面终止合同，无需向</w:t>
      </w:r>
      <w:r>
        <w:rPr>
          <w:rFonts w:hint="eastAsia" w:ascii="宋体" w:hAnsi="宋体"/>
          <w:bCs/>
          <w:color w:val="000000"/>
          <w:kern w:val="80"/>
          <w:sz w:val="24"/>
          <w:lang w:eastAsia="zh-CN"/>
        </w:rPr>
        <w:t>甲方、乙方</w:t>
      </w:r>
      <w:r>
        <w:rPr>
          <w:rFonts w:hint="eastAsia" w:ascii="宋体" w:hAnsi="宋体"/>
          <w:bCs/>
          <w:color w:val="000000"/>
          <w:kern w:val="80"/>
          <w:sz w:val="24"/>
        </w:rPr>
        <w:t>支付任何违约金，所导致的责任由</w:t>
      </w:r>
      <w:r>
        <w:rPr>
          <w:rFonts w:hint="eastAsia" w:ascii="宋体" w:hAnsi="宋体"/>
          <w:bCs/>
          <w:color w:val="000000"/>
          <w:kern w:val="80"/>
          <w:sz w:val="24"/>
          <w:lang w:eastAsia="zh-CN"/>
        </w:rPr>
        <w:t>甲方、乙方</w:t>
      </w:r>
      <w:r>
        <w:rPr>
          <w:rFonts w:hint="eastAsia" w:ascii="宋体" w:hAnsi="宋体"/>
          <w:bCs/>
          <w:color w:val="000000"/>
          <w:kern w:val="80"/>
          <w:sz w:val="24"/>
        </w:rPr>
        <w:t>承担，且就</w:t>
      </w:r>
      <w:r>
        <w:rPr>
          <w:rFonts w:hint="eastAsia" w:ascii="宋体" w:hAnsi="宋体"/>
          <w:bCs/>
          <w:color w:val="000000"/>
          <w:kern w:val="80"/>
          <w:sz w:val="24"/>
          <w:lang w:eastAsia="zh-CN"/>
        </w:rPr>
        <w:t>丙方</w:t>
      </w:r>
      <w:r>
        <w:rPr>
          <w:rFonts w:hint="eastAsia" w:ascii="宋体" w:hAnsi="宋体"/>
          <w:bCs/>
          <w:color w:val="000000"/>
          <w:kern w:val="80"/>
          <w:sz w:val="24"/>
        </w:rPr>
        <w:t>已完成的维护保养服务时长，</w:t>
      </w:r>
      <w:r>
        <w:rPr>
          <w:rFonts w:hint="eastAsia" w:ascii="宋体" w:hAnsi="宋体"/>
          <w:bCs/>
          <w:color w:val="000000"/>
          <w:kern w:val="80"/>
          <w:sz w:val="24"/>
          <w:lang w:eastAsia="zh-CN"/>
        </w:rPr>
        <w:t>甲方、乙方</w:t>
      </w:r>
      <w:r>
        <w:rPr>
          <w:rFonts w:hint="eastAsia" w:ascii="宋体" w:hAnsi="宋体"/>
          <w:bCs/>
          <w:color w:val="000000"/>
          <w:kern w:val="80"/>
          <w:sz w:val="24"/>
        </w:rPr>
        <w:t>应在一周内结清服务费用。</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lang w:eastAsia="zh-CN"/>
        </w:rPr>
        <w:t>丙方</w:t>
      </w:r>
      <w:r>
        <w:rPr>
          <w:rFonts w:hint="eastAsia" w:ascii="宋体" w:hAnsi="宋体"/>
          <w:bCs/>
          <w:color w:val="000000"/>
          <w:kern w:val="80"/>
          <w:sz w:val="24"/>
        </w:rPr>
        <w:t>在消防设施设备维护、保养工作完成后，作出相应的维护保养报告和结论，由双方在本合同约定的代表、项目负责人签名确认，存档备查。</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rPr>
        <w:t>协助</w:t>
      </w:r>
      <w:r>
        <w:rPr>
          <w:rFonts w:hint="eastAsia" w:ascii="宋体" w:hAnsi="宋体"/>
          <w:bCs/>
          <w:color w:val="000000"/>
          <w:kern w:val="80"/>
          <w:sz w:val="24"/>
          <w:lang w:eastAsia="zh-CN"/>
        </w:rPr>
        <w:t>甲方、乙方</w:t>
      </w:r>
      <w:r>
        <w:rPr>
          <w:rFonts w:hint="eastAsia" w:ascii="宋体" w:hAnsi="宋体"/>
          <w:bCs/>
          <w:color w:val="000000"/>
          <w:kern w:val="80"/>
          <w:sz w:val="24"/>
        </w:rPr>
        <w:t>管理部门做好本建筑装修消防设施的施工改造工作。</w:t>
      </w:r>
      <w:r>
        <w:rPr>
          <w:rFonts w:hint="eastAsia" w:ascii="宋体" w:hAnsi="宋体"/>
          <w:bCs/>
          <w:color w:val="000000"/>
          <w:kern w:val="80"/>
          <w:sz w:val="24"/>
          <w:lang w:eastAsia="zh-CN"/>
        </w:rPr>
        <w:t>丙方</w:t>
      </w:r>
      <w:r>
        <w:rPr>
          <w:rFonts w:hint="eastAsia" w:ascii="宋体" w:hAnsi="宋体"/>
          <w:bCs/>
          <w:color w:val="000000"/>
          <w:kern w:val="80"/>
          <w:sz w:val="24"/>
        </w:rPr>
        <w:t>有责任协助</w:t>
      </w:r>
      <w:r>
        <w:rPr>
          <w:rFonts w:hint="eastAsia" w:ascii="宋体" w:hAnsi="宋体"/>
          <w:bCs/>
          <w:color w:val="000000"/>
          <w:kern w:val="80"/>
          <w:sz w:val="24"/>
          <w:lang w:eastAsia="zh-CN"/>
        </w:rPr>
        <w:t>甲方、乙方</w:t>
      </w:r>
      <w:r>
        <w:rPr>
          <w:rFonts w:hint="eastAsia" w:ascii="宋体" w:hAnsi="宋体"/>
          <w:bCs/>
          <w:color w:val="000000"/>
          <w:kern w:val="80"/>
          <w:sz w:val="24"/>
        </w:rPr>
        <w:t>做好本建筑的消防系统的整改工作，配合程度及相关费用另行协商。</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rPr>
        <w:t>对于</w:t>
      </w:r>
      <w:r>
        <w:rPr>
          <w:rFonts w:hint="eastAsia" w:ascii="宋体" w:hAnsi="宋体"/>
          <w:bCs/>
          <w:color w:val="000000"/>
          <w:kern w:val="80"/>
          <w:sz w:val="24"/>
          <w:lang w:eastAsia="zh-CN"/>
        </w:rPr>
        <w:t>甲方、乙方</w:t>
      </w:r>
      <w:r>
        <w:rPr>
          <w:rFonts w:hint="eastAsia" w:ascii="宋体" w:hAnsi="宋体"/>
          <w:bCs/>
          <w:color w:val="000000"/>
          <w:kern w:val="80"/>
          <w:sz w:val="24"/>
        </w:rPr>
        <w:t>提供的图纸和技术资料以及属于</w:t>
      </w:r>
      <w:r>
        <w:rPr>
          <w:rFonts w:hint="eastAsia" w:ascii="宋体" w:hAnsi="宋体"/>
          <w:bCs/>
          <w:color w:val="000000"/>
          <w:kern w:val="80"/>
          <w:sz w:val="24"/>
          <w:lang w:eastAsia="zh-CN"/>
        </w:rPr>
        <w:t>甲方、乙方</w:t>
      </w:r>
      <w:r>
        <w:rPr>
          <w:rFonts w:hint="eastAsia" w:ascii="宋体" w:hAnsi="宋体"/>
          <w:bCs/>
          <w:color w:val="000000"/>
          <w:kern w:val="80"/>
          <w:sz w:val="24"/>
        </w:rPr>
        <w:t>的测试报告，</w:t>
      </w:r>
      <w:r>
        <w:rPr>
          <w:rFonts w:hint="eastAsia" w:ascii="宋体" w:hAnsi="宋体"/>
          <w:bCs/>
          <w:color w:val="000000"/>
          <w:kern w:val="80"/>
          <w:sz w:val="24"/>
          <w:lang w:eastAsia="zh-CN"/>
        </w:rPr>
        <w:t>丙方</w:t>
      </w:r>
      <w:r>
        <w:rPr>
          <w:rFonts w:hint="eastAsia" w:ascii="宋体" w:hAnsi="宋体"/>
          <w:bCs/>
          <w:color w:val="000000"/>
          <w:kern w:val="80"/>
          <w:sz w:val="24"/>
        </w:rPr>
        <w:t>有保密义务。本合同以及其所产生维护保养报告，除按照有关要求上传至“社会消防技术服务信息系统”以及属地消防救援机构指定的信息数据平台外，不得向第三人泄露。</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lang w:eastAsia="zh-CN"/>
        </w:rPr>
        <w:t>丙方</w:t>
      </w:r>
      <w:r>
        <w:rPr>
          <w:rFonts w:hint="eastAsia" w:ascii="宋体" w:hAnsi="宋体"/>
          <w:bCs/>
          <w:color w:val="000000"/>
          <w:kern w:val="80"/>
          <w:sz w:val="24"/>
        </w:rPr>
        <w:t>不得将本项目进行转包。因</w:t>
      </w:r>
      <w:r>
        <w:rPr>
          <w:rFonts w:hint="eastAsia" w:ascii="宋体" w:hAnsi="宋体"/>
          <w:bCs/>
          <w:color w:val="000000"/>
          <w:kern w:val="80"/>
          <w:sz w:val="24"/>
          <w:lang w:eastAsia="zh-CN"/>
        </w:rPr>
        <w:t>丙方</w:t>
      </w:r>
      <w:r>
        <w:rPr>
          <w:rFonts w:hint="eastAsia" w:ascii="宋体" w:hAnsi="宋体"/>
          <w:bCs/>
          <w:color w:val="000000"/>
          <w:kern w:val="80"/>
          <w:sz w:val="24"/>
        </w:rPr>
        <w:t>维护保养过程中操作失误导致零配件损坏所产生的费用由</w:t>
      </w:r>
      <w:r>
        <w:rPr>
          <w:rFonts w:hint="eastAsia" w:ascii="宋体" w:hAnsi="宋体"/>
          <w:bCs/>
          <w:color w:val="000000"/>
          <w:kern w:val="80"/>
          <w:sz w:val="24"/>
          <w:lang w:eastAsia="zh-CN"/>
        </w:rPr>
        <w:t>丙方</w:t>
      </w:r>
      <w:r>
        <w:rPr>
          <w:rFonts w:hint="eastAsia" w:ascii="宋体" w:hAnsi="宋体"/>
          <w:bCs/>
          <w:color w:val="000000"/>
          <w:kern w:val="80"/>
          <w:sz w:val="24"/>
        </w:rPr>
        <w:t>负责。</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rPr>
        <w:t>由于不可抗力和意外事故（如雷击、台风、水浸或非维护不当造成的故障等）造成消防系统瘫痪，</w:t>
      </w:r>
      <w:r>
        <w:rPr>
          <w:rFonts w:hint="eastAsia" w:ascii="宋体" w:hAnsi="宋体"/>
          <w:bCs/>
          <w:color w:val="000000"/>
          <w:kern w:val="80"/>
          <w:sz w:val="24"/>
          <w:lang w:eastAsia="zh-CN"/>
        </w:rPr>
        <w:t>丙方</w:t>
      </w:r>
      <w:r>
        <w:rPr>
          <w:rFonts w:hint="eastAsia" w:ascii="宋体" w:hAnsi="宋体"/>
          <w:bCs/>
          <w:color w:val="000000"/>
          <w:kern w:val="80"/>
          <w:sz w:val="24"/>
        </w:rPr>
        <w:t>必须立即组织抢修并报价，尽快恢复系统正常运行。抢修工作结束后，</w:t>
      </w:r>
      <w:r>
        <w:rPr>
          <w:rFonts w:hint="eastAsia" w:ascii="宋体" w:hAnsi="宋体"/>
          <w:bCs/>
          <w:color w:val="000000"/>
          <w:kern w:val="80"/>
          <w:sz w:val="24"/>
          <w:lang w:eastAsia="zh-CN"/>
        </w:rPr>
        <w:t>丙方</w:t>
      </w:r>
      <w:r>
        <w:rPr>
          <w:rFonts w:hint="eastAsia" w:ascii="宋体" w:hAnsi="宋体"/>
          <w:bCs/>
          <w:color w:val="000000"/>
          <w:kern w:val="80"/>
          <w:sz w:val="24"/>
        </w:rPr>
        <w:t>向</w:t>
      </w:r>
      <w:r>
        <w:rPr>
          <w:rFonts w:hint="eastAsia" w:ascii="宋体" w:hAnsi="宋体"/>
          <w:bCs/>
          <w:color w:val="000000"/>
          <w:kern w:val="80"/>
          <w:sz w:val="24"/>
          <w:lang w:eastAsia="zh-CN"/>
        </w:rPr>
        <w:t>甲方、乙方</w:t>
      </w:r>
      <w:r>
        <w:rPr>
          <w:rFonts w:hint="eastAsia" w:ascii="宋体" w:hAnsi="宋体"/>
          <w:bCs/>
          <w:color w:val="000000"/>
          <w:kern w:val="80"/>
          <w:sz w:val="24"/>
        </w:rPr>
        <w:t>递交工程抢修材料费结算清单</w:t>
      </w:r>
      <w:r>
        <w:rPr>
          <w:rFonts w:hint="eastAsia" w:ascii="宋体" w:hAnsi="宋体"/>
          <w:bCs/>
          <w:color w:val="000000"/>
          <w:kern w:val="80"/>
          <w:sz w:val="24"/>
          <w:lang w:val="en-US" w:eastAsia="zh-CN"/>
        </w:rPr>
        <w:t>及合法有效发票</w:t>
      </w:r>
      <w:r>
        <w:rPr>
          <w:rFonts w:hint="eastAsia" w:ascii="宋体" w:hAnsi="宋体"/>
          <w:bCs/>
          <w:color w:val="000000"/>
          <w:kern w:val="80"/>
          <w:sz w:val="24"/>
        </w:rPr>
        <w:t>，由</w:t>
      </w:r>
      <w:r>
        <w:rPr>
          <w:rFonts w:hint="eastAsia" w:ascii="宋体" w:hAnsi="宋体"/>
          <w:bCs/>
          <w:color w:val="000000"/>
          <w:kern w:val="80"/>
          <w:sz w:val="24"/>
          <w:lang w:eastAsia="zh-CN"/>
        </w:rPr>
        <w:t>甲方、乙方</w:t>
      </w:r>
      <w:r>
        <w:rPr>
          <w:rFonts w:hint="eastAsia" w:ascii="宋体" w:hAnsi="宋体"/>
          <w:bCs/>
          <w:color w:val="000000"/>
          <w:kern w:val="80"/>
          <w:sz w:val="24"/>
        </w:rPr>
        <w:t>审核后</w:t>
      </w:r>
      <w:r>
        <w:rPr>
          <w:rFonts w:hint="eastAsia" w:ascii="宋体" w:hAnsi="宋体"/>
          <w:bCs/>
          <w:color w:val="000000"/>
          <w:kern w:val="80"/>
          <w:sz w:val="24"/>
          <w:lang w:val="en-US" w:eastAsia="zh-CN"/>
        </w:rPr>
        <w:t>按财政审批流程</w:t>
      </w:r>
      <w:r>
        <w:rPr>
          <w:rFonts w:hint="eastAsia" w:ascii="宋体" w:hAnsi="宋体"/>
          <w:bCs/>
          <w:color w:val="000000"/>
          <w:kern w:val="80"/>
          <w:sz w:val="24"/>
        </w:rPr>
        <w:t>向</w:t>
      </w:r>
      <w:r>
        <w:rPr>
          <w:rFonts w:hint="eastAsia" w:ascii="宋体" w:hAnsi="宋体"/>
          <w:bCs/>
          <w:color w:val="000000"/>
          <w:kern w:val="80"/>
          <w:sz w:val="24"/>
          <w:lang w:eastAsia="zh-CN"/>
        </w:rPr>
        <w:t>丙方</w:t>
      </w:r>
      <w:r>
        <w:rPr>
          <w:rFonts w:hint="eastAsia" w:ascii="宋体" w:hAnsi="宋体"/>
          <w:bCs/>
          <w:color w:val="000000"/>
          <w:kern w:val="80"/>
          <w:sz w:val="24"/>
        </w:rPr>
        <w:t>支付费用。</w:t>
      </w:r>
      <w:r>
        <w:rPr>
          <w:rFonts w:hint="eastAsia" w:ascii="宋体" w:hAnsi="宋体"/>
          <w:bCs/>
          <w:color w:val="000000"/>
          <w:kern w:val="80"/>
          <w:sz w:val="24"/>
          <w:lang w:eastAsia="zh-CN"/>
        </w:rPr>
        <w:t>甲方、乙方</w:t>
      </w:r>
      <w:r>
        <w:rPr>
          <w:rFonts w:hint="eastAsia" w:ascii="宋体" w:hAnsi="宋体"/>
          <w:bCs/>
          <w:color w:val="000000"/>
          <w:kern w:val="80"/>
          <w:sz w:val="24"/>
        </w:rPr>
        <w:t>收到</w:t>
      </w:r>
      <w:r>
        <w:rPr>
          <w:rFonts w:hint="eastAsia" w:ascii="宋体" w:hAnsi="宋体"/>
          <w:bCs/>
          <w:color w:val="000000"/>
          <w:kern w:val="80"/>
          <w:sz w:val="24"/>
          <w:lang w:eastAsia="zh-CN"/>
        </w:rPr>
        <w:t>丙方</w:t>
      </w:r>
      <w:r>
        <w:rPr>
          <w:rFonts w:hint="eastAsia" w:ascii="宋体" w:hAnsi="宋体"/>
          <w:bCs/>
          <w:color w:val="000000"/>
          <w:kern w:val="80"/>
          <w:sz w:val="24"/>
        </w:rPr>
        <w:t>递交的结算清单后五个工作日内未提异议的，视为审核通过。</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lang w:eastAsia="zh-CN"/>
        </w:rPr>
        <w:t>丙方</w:t>
      </w:r>
      <w:r>
        <w:rPr>
          <w:rFonts w:hint="eastAsia" w:ascii="宋体" w:hAnsi="宋体"/>
          <w:bCs/>
          <w:color w:val="000000"/>
          <w:kern w:val="80"/>
          <w:sz w:val="24"/>
        </w:rPr>
        <w:t>技术人员必须安全文明维保；</w:t>
      </w:r>
      <w:r>
        <w:rPr>
          <w:rFonts w:hint="eastAsia" w:ascii="宋体" w:hAnsi="宋体"/>
          <w:bCs/>
          <w:color w:val="000000"/>
          <w:kern w:val="80"/>
          <w:sz w:val="24"/>
          <w:lang w:eastAsia="zh-CN"/>
        </w:rPr>
        <w:t>丙方</w:t>
      </w:r>
      <w:r>
        <w:rPr>
          <w:rFonts w:hint="eastAsia" w:ascii="宋体" w:hAnsi="宋体"/>
          <w:bCs/>
          <w:color w:val="000000"/>
          <w:kern w:val="80"/>
          <w:sz w:val="24"/>
        </w:rPr>
        <w:t>负责办理</w:t>
      </w:r>
      <w:r>
        <w:rPr>
          <w:rFonts w:hint="eastAsia" w:ascii="宋体" w:hAnsi="宋体"/>
          <w:bCs/>
          <w:color w:val="000000"/>
          <w:kern w:val="80"/>
          <w:sz w:val="24"/>
          <w:lang w:eastAsia="zh-CN"/>
        </w:rPr>
        <w:t>丙方</w:t>
      </w:r>
      <w:r>
        <w:rPr>
          <w:rFonts w:hint="eastAsia" w:ascii="宋体" w:hAnsi="宋体"/>
          <w:bCs/>
          <w:color w:val="000000"/>
          <w:kern w:val="80"/>
          <w:sz w:val="24"/>
        </w:rPr>
        <w:t>现场人员生命财产的保险，并支付相应费用。</w:t>
      </w:r>
      <w:r>
        <w:rPr>
          <w:rFonts w:hint="eastAsia" w:ascii="宋体" w:hAnsi="宋体"/>
          <w:bCs/>
          <w:color w:val="000000"/>
          <w:kern w:val="80"/>
          <w:sz w:val="24"/>
          <w:lang w:val="en-US" w:eastAsia="zh-CN"/>
        </w:rPr>
        <w:t>维保过程中产生的一切人身损害或财产损失，由丙方承担全部责任。若甲方、乙方先行垫付的，有权向丙方全额追偿。</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kern w:val="80"/>
          <w:sz w:val="24"/>
          <w:lang w:eastAsia="zh-CN"/>
        </w:rPr>
        <w:t>丙方</w:t>
      </w:r>
      <w:r>
        <w:rPr>
          <w:rFonts w:hint="eastAsia" w:ascii="宋体" w:hAnsi="宋体"/>
          <w:bCs/>
          <w:color w:val="000000"/>
          <w:kern w:val="80"/>
          <w:sz w:val="24"/>
        </w:rPr>
        <w:t>技术人员在维护保养测试期间应当勤勉谨慎，测试过程中应尽量减少对</w:t>
      </w:r>
      <w:r>
        <w:rPr>
          <w:rFonts w:hint="eastAsia" w:ascii="宋体" w:hAnsi="宋体"/>
          <w:bCs/>
          <w:color w:val="000000"/>
          <w:kern w:val="80"/>
          <w:sz w:val="24"/>
          <w:lang w:eastAsia="zh-CN"/>
        </w:rPr>
        <w:t>甲方、乙方</w:t>
      </w:r>
      <w:r>
        <w:rPr>
          <w:rFonts w:hint="eastAsia" w:ascii="宋体" w:hAnsi="宋体"/>
          <w:bCs/>
          <w:color w:val="000000"/>
          <w:kern w:val="80"/>
          <w:sz w:val="24"/>
        </w:rPr>
        <w:t>的影响。</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cs="宋体"/>
          <w:bCs/>
          <w:color w:val="000000"/>
          <w:kern w:val="0"/>
          <w:sz w:val="24"/>
          <w:lang w:eastAsia="zh-CN"/>
        </w:rPr>
        <w:t>甲方、乙方</w:t>
      </w:r>
      <w:r>
        <w:rPr>
          <w:rFonts w:hint="eastAsia" w:ascii="宋体" w:hAnsi="宋体" w:cs="宋体"/>
          <w:bCs/>
          <w:color w:val="000000"/>
          <w:kern w:val="0"/>
          <w:sz w:val="24"/>
        </w:rPr>
        <w:t>未依约付款的，</w:t>
      </w:r>
      <w:r>
        <w:rPr>
          <w:rFonts w:hint="eastAsia" w:ascii="宋体" w:hAnsi="宋体" w:cs="宋体"/>
          <w:bCs/>
          <w:color w:val="000000"/>
          <w:kern w:val="0"/>
          <w:sz w:val="24"/>
          <w:lang w:eastAsia="zh-CN"/>
        </w:rPr>
        <w:t>丙方</w:t>
      </w:r>
      <w:r>
        <w:rPr>
          <w:rFonts w:hint="eastAsia" w:ascii="宋体" w:hAnsi="宋体" w:cs="宋体"/>
          <w:bCs/>
          <w:color w:val="000000"/>
          <w:kern w:val="0"/>
          <w:sz w:val="24"/>
        </w:rPr>
        <w:t>有权中止履行一切合同义务。</w:t>
      </w:r>
      <w:r>
        <w:rPr>
          <w:rFonts w:hint="eastAsia" w:ascii="宋体" w:hAnsi="宋体" w:cs="宋体"/>
          <w:bCs/>
          <w:color w:val="000000"/>
          <w:kern w:val="0"/>
          <w:sz w:val="24"/>
          <w:lang w:val="en-US" w:eastAsia="zh-CN"/>
        </w:rPr>
        <w:t>因财政审批或政策等原因导致的逾期付款，不视为甲方、乙方违约。</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cs="宋体"/>
          <w:bCs/>
          <w:color w:val="000000"/>
          <w:kern w:val="0"/>
          <w:sz w:val="24"/>
        </w:rPr>
        <w:t>本合同因不可归咎于</w:t>
      </w:r>
      <w:r>
        <w:rPr>
          <w:rFonts w:hint="eastAsia" w:ascii="宋体" w:hAnsi="宋体" w:cs="宋体"/>
          <w:bCs/>
          <w:color w:val="000000"/>
          <w:kern w:val="0"/>
          <w:sz w:val="24"/>
          <w:lang w:eastAsia="zh-CN"/>
        </w:rPr>
        <w:t>丙方</w:t>
      </w:r>
      <w:r>
        <w:rPr>
          <w:rFonts w:hint="eastAsia" w:ascii="宋体" w:hAnsi="宋体" w:cs="宋体"/>
          <w:bCs/>
          <w:color w:val="000000"/>
          <w:kern w:val="0"/>
          <w:sz w:val="24"/>
        </w:rPr>
        <w:t>的原因中止累计30天的，</w:t>
      </w:r>
      <w:r>
        <w:rPr>
          <w:rFonts w:hint="eastAsia" w:ascii="宋体" w:hAnsi="宋体" w:cs="宋体"/>
          <w:bCs/>
          <w:color w:val="000000"/>
          <w:kern w:val="0"/>
          <w:sz w:val="24"/>
          <w:lang w:eastAsia="zh-CN"/>
        </w:rPr>
        <w:t>丙方</w:t>
      </w:r>
      <w:r>
        <w:rPr>
          <w:rFonts w:hint="eastAsia" w:ascii="宋体" w:hAnsi="宋体" w:cs="宋体"/>
          <w:bCs/>
          <w:color w:val="000000"/>
          <w:kern w:val="0"/>
          <w:sz w:val="24"/>
        </w:rPr>
        <w:t>有权解除合同并计收正常履行本合同相关工作量所对应的费用。</w:t>
      </w:r>
    </w:p>
    <w:p>
      <w:pPr>
        <w:numPr>
          <w:ilvl w:val="0"/>
          <w:numId w:val="12"/>
        </w:numPr>
        <w:snapToGrid w:val="0"/>
        <w:spacing w:line="300" w:lineRule="auto"/>
        <w:ind w:right="-21" w:rightChars="-10"/>
        <w:jc w:val="left"/>
        <w:rPr>
          <w:rFonts w:ascii="宋体" w:hAnsi="宋体" w:cs="宋体"/>
          <w:bCs/>
          <w:color w:val="000000"/>
          <w:kern w:val="0"/>
          <w:sz w:val="24"/>
        </w:rPr>
      </w:pPr>
      <w:r>
        <w:rPr>
          <w:rFonts w:hint="eastAsia" w:ascii="宋体" w:hAnsi="宋体" w:cs="宋体"/>
          <w:bCs/>
          <w:color w:val="000000"/>
          <w:kern w:val="0"/>
          <w:sz w:val="24"/>
        </w:rPr>
        <w:t>本合同因不可归咎于甲乙双方的原因被终止、解除的，</w:t>
      </w:r>
      <w:r>
        <w:rPr>
          <w:rFonts w:hint="eastAsia" w:ascii="宋体" w:hAnsi="宋体" w:cs="宋体"/>
          <w:bCs/>
          <w:color w:val="000000"/>
          <w:kern w:val="0"/>
          <w:sz w:val="24"/>
          <w:lang w:eastAsia="zh-CN"/>
        </w:rPr>
        <w:t>丙方</w:t>
      </w:r>
      <w:r>
        <w:rPr>
          <w:rFonts w:hint="eastAsia" w:ascii="宋体" w:hAnsi="宋体" w:cs="宋体"/>
          <w:bCs/>
          <w:color w:val="000000"/>
          <w:kern w:val="0"/>
          <w:sz w:val="24"/>
        </w:rPr>
        <w:t>有权计收正常履行本合同相关工作量所对应的费用。</w:t>
      </w:r>
    </w:p>
    <w:p>
      <w:pPr>
        <w:snapToGrid w:val="0"/>
        <w:spacing w:line="300" w:lineRule="auto"/>
        <w:ind w:right="-21" w:rightChars="-10"/>
        <w:jc w:val="left"/>
        <w:rPr>
          <w:rFonts w:ascii="宋体" w:hAnsi="宋体" w:cs="宋体"/>
          <w:b/>
          <w:bCs/>
          <w:color w:val="000000"/>
          <w:kern w:val="0"/>
          <w:sz w:val="24"/>
        </w:rPr>
      </w:pPr>
      <w:r>
        <w:rPr>
          <w:rFonts w:hint="eastAsia" w:ascii="宋体" w:hAnsi="宋体"/>
          <w:b/>
          <w:color w:val="000000"/>
          <w:spacing w:val="10"/>
          <w:sz w:val="24"/>
        </w:rPr>
        <w:t>九、违约责任</w:t>
      </w:r>
    </w:p>
    <w:p>
      <w:pPr>
        <w:numPr>
          <w:ilvl w:val="0"/>
          <w:numId w:val="13"/>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sz w:val="24"/>
          <w:lang w:eastAsia="zh-CN"/>
        </w:rPr>
        <w:t>甲方、乙方</w:t>
      </w:r>
      <w:r>
        <w:rPr>
          <w:rFonts w:hint="eastAsia" w:ascii="宋体" w:hAnsi="宋体"/>
          <w:bCs/>
          <w:color w:val="000000"/>
          <w:sz w:val="24"/>
        </w:rPr>
        <w:t>应按时支付本合同的维保款，逾期则每天按本合同总价的</w:t>
      </w:r>
      <w:r>
        <w:rPr>
          <w:rFonts w:hint="eastAsia" w:ascii="宋体" w:hAnsi="宋体"/>
          <w:bCs/>
          <w:color w:val="000000"/>
          <w:sz w:val="24"/>
          <w:lang w:val="en-US" w:eastAsia="zh-CN"/>
        </w:rPr>
        <w:t>0.</w:t>
      </w:r>
      <w:r>
        <w:rPr>
          <w:rFonts w:hint="eastAsia" w:ascii="宋体" w:hAnsi="宋体"/>
          <w:bCs/>
          <w:color w:val="000000"/>
          <w:sz w:val="24"/>
        </w:rPr>
        <w:t>1‰向</w:t>
      </w:r>
      <w:r>
        <w:rPr>
          <w:rFonts w:hint="eastAsia" w:ascii="宋体" w:hAnsi="宋体"/>
          <w:bCs/>
          <w:color w:val="000000"/>
          <w:sz w:val="24"/>
          <w:lang w:eastAsia="zh-CN"/>
        </w:rPr>
        <w:t>丙方</w:t>
      </w:r>
      <w:r>
        <w:rPr>
          <w:rFonts w:hint="eastAsia" w:ascii="宋体" w:hAnsi="宋体"/>
          <w:bCs/>
          <w:color w:val="000000"/>
          <w:sz w:val="24"/>
        </w:rPr>
        <w:t>支付违约金。如逾期超过20天，</w:t>
      </w:r>
      <w:r>
        <w:rPr>
          <w:rFonts w:hint="eastAsia" w:ascii="宋体" w:hAnsi="宋体"/>
          <w:bCs/>
          <w:color w:val="000000"/>
          <w:sz w:val="24"/>
          <w:lang w:eastAsia="zh-CN"/>
        </w:rPr>
        <w:t>甲方、乙方</w:t>
      </w:r>
      <w:r>
        <w:rPr>
          <w:rFonts w:hint="eastAsia" w:ascii="宋体" w:hAnsi="宋体"/>
          <w:bCs/>
          <w:color w:val="000000"/>
          <w:sz w:val="24"/>
        </w:rPr>
        <w:t>除按上述约定支付违约金外，</w:t>
      </w:r>
      <w:r>
        <w:rPr>
          <w:rFonts w:hint="eastAsia" w:ascii="宋体" w:hAnsi="宋体"/>
          <w:bCs/>
          <w:color w:val="000000"/>
          <w:sz w:val="24"/>
          <w:lang w:eastAsia="zh-CN"/>
        </w:rPr>
        <w:t>丙方</w:t>
      </w:r>
      <w:r>
        <w:rPr>
          <w:rFonts w:hint="eastAsia" w:ascii="宋体" w:hAnsi="宋体"/>
          <w:bCs/>
          <w:color w:val="000000"/>
          <w:sz w:val="24"/>
        </w:rPr>
        <w:t>有权单方面解除合同，同时额外计收合同总价10%的违约金，所有的责任由</w:t>
      </w:r>
      <w:r>
        <w:rPr>
          <w:rFonts w:hint="eastAsia" w:ascii="宋体" w:hAnsi="宋体"/>
          <w:bCs/>
          <w:color w:val="000000"/>
          <w:sz w:val="24"/>
          <w:lang w:eastAsia="zh-CN"/>
        </w:rPr>
        <w:t>甲方、乙方</w:t>
      </w:r>
      <w:r>
        <w:rPr>
          <w:rFonts w:hint="eastAsia" w:ascii="宋体" w:hAnsi="宋体"/>
          <w:bCs/>
          <w:color w:val="000000"/>
          <w:sz w:val="24"/>
        </w:rPr>
        <w:t>承担。</w:t>
      </w:r>
    </w:p>
    <w:p>
      <w:pPr>
        <w:numPr>
          <w:ilvl w:val="0"/>
          <w:numId w:val="13"/>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sz w:val="24"/>
        </w:rPr>
        <w:t>合同期内发生重大消防安全事故，事故责任的最终认定以消防安全事故专业认定机构或司法机构认定结果为准。</w:t>
      </w:r>
    </w:p>
    <w:p>
      <w:pPr>
        <w:numPr>
          <w:ilvl w:val="0"/>
          <w:numId w:val="13"/>
        </w:numPr>
        <w:snapToGrid w:val="0"/>
        <w:spacing w:line="300" w:lineRule="auto"/>
        <w:ind w:right="-21" w:rightChars="-10"/>
        <w:jc w:val="left"/>
        <w:rPr>
          <w:rFonts w:ascii="宋体" w:hAnsi="宋体" w:cs="宋体"/>
          <w:bCs/>
          <w:color w:val="000000"/>
          <w:kern w:val="0"/>
          <w:sz w:val="24"/>
        </w:rPr>
      </w:pPr>
      <w:r>
        <w:rPr>
          <w:rFonts w:hint="eastAsia" w:ascii="宋体" w:hAnsi="宋体"/>
          <w:bCs/>
          <w:color w:val="000000"/>
          <w:sz w:val="24"/>
        </w:rPr>
        <w:t>合同双方任何一方不能全面履行合同条款均属违约，违约所造成的经济损失</w:t>
      </w:r>
      <w:r>
        <w:rPr>
          <w:rFonts w:hint="eastAsia" w:ascii="宋体" w:hAnsi="宋体"/>
          <w:bCs/>
          <w:color w:val="000000"/>
          <w:sz w:val="24"/>
          <w:lang w:eastAsia="zh-CN"/>
        </w:rPr>
        <w:t>，</w:t>
      </w:r>
      <w:r>
        <w:rPr>
          <w:rFonts w:hint="eastAsia" w:ascii="宋体" w:hAnsi="宋体"/>
          <w:bCs/>
          <w:color w:val="000000"/>
          <w:sz w:val="24"/>
        </w:rPr>
        <w:t>一概由违约方承担赔偿。</w:t>
      </w:r>
    </w:p>
    <w:p>
      <w:pPr>
        <w:numPr>
          <w:ilvl w:val="0"/>
          <w:numId w:val="13"/>
        </w:numPr>
        <w:snapToGrid w:val="0"/>
        <w:spacing w:line="300" w:lineRule="auto"/>
        <w:ind w:right="-21" w:rightChars="-10"/>
        <w:jc w:val="left"/>
        <w:rPr>
          <w:rFonts w:ascii="宋体" w:hAnsi="宋体"/>
          <w:b/>
          <w:color w:val="000000"/>
          <w:sz w:val="24"/>
        </w:rPr>
      </w:pPr>
      <w:r>
        <w:rPr>
          <w:rFonts w:hint="eastAsia" w:ascii="宋体" w:hAnsi="宋体"/>
          <w:bCs/>
          <w:color w:val="000000"/>
          <w:sz w:val="24"/>
        </w:rPr>
        <w:t>在合同期内由于</w:t>
      </w:r>
      <w:r>
        <w:rPr>
          <w:rFonts w:hint="eastAsia" w:ascii="宋体" w:hAnsi="宋体"/>
          <w:bCs/>
          <w:color w:val="000000"/>
          <w:sz w:val="24"/>
          <w:lang w:eastAsia="zh-CN"/>
        </w:rPr>
        <w:t>丙方</w:t>
      </w:r>
      <w:r>
        <w:rPr>
          <w:rFonts w:hint="eastAsia" w:ascii="宋体" w:hAnsi="宋体"/>
          <w:bCs/>
          <w:color w:val="000000"/>
          <w:sz w:val="24"/>
        </w:rPr>
        <w:t>维保原因造成消防系统出现故障给</w:t>
      </w:r>
      <w:r>
        <w:rPr>
          <w:rFonts w:hint="eastAsia" w:ascii="宋体" w:hAnsi="宋体"/>
          <w:bCs/>
          <w:color w:val="000000"/>
          <w:sz w:val="24"/>
          <w:lang w:eastAsia="zh-CN"/>
        </w:rPr>
        <w:t>甲方、乙方</w:t>
      </w:r>
      <w:r>
        <w:rPr>
          <w:rFonts w:hint="eastAsia" w:ascii="宋体" w:hAnsi="宋体"/>
          <w:bCs/>
          <w:color w:val="000000"/>
          <w:sz w:val="24"/>
        </w:rPr>
        <w:t>造成损失的，由</w:t>
      </w:r>
      <w:r>
        <w:rPr>
          <w:rFonts w:hint="eastAsia" w:ascii="宋体" w:hAnsi="宋体"/>
          <w:bCs/>
          <w:color w:val="000000"/>
          <w:sz w:val="24"/>
          <w:lang w:eastAsia="zh-CN"/>
        </w:rPr>
        <w:t>丙方</w:t>
      </w:r>
      <w:r>
        <w:rPr>
          <w:rFonts w:hint="eastAsia" w:ascii="宋体" w:hAnsi="宋体"/>
          <w:bCs/>
          <w:color w:val="000000"/>
          <w:sz w:val="24"/>
        </w:rPr>
        <w:t>负责。因</w:t>
      </w:r>
      <w:r>
        <w:rPr>
          <w:rFonts w:hint="eastAsia" w:ascii="宋体" w:hAnsi="宋体"/>
          <w:bCs/>
          <w:color w:val="000000"/>
          <w:sz w:val="24"/>
          <w:lang w:eastAsia="zh-CN"/>
        </w:rPr>
        <w:t>甲方、乙方</w:t>
      </w:r>
      <w:r>
        <w:rPr>
          <w:rFonts w:hint="eastAsia" w:ascii="宋体" w:hAnsi="宋体"/>
          <w:bCs/>
          <w:color w:val="000000"/>
          <w:sz w:val="24"/>
        </w:rPr>
        <w:t>未能及时书面确认</w:t>
      </w:r>
      <w:r>
        <w:rPr>
          <w:rFonts w:hint="eastAsia" w:ascii="宋体" w:hAnsi="宋体"/>
          <w:bCs/>
          <w:color w:val="000000"/>
          <w:sz w:val="24"/>
          <w:lang w:eastAsia="zh-CN"/>
        </w:rPr>
        <w:t>丙方</w:t>
      </w:r>
      <w:r>
        <w:rPr>
          <w:rFonts w:hint="eastAsia" w:ascii="宋体" w:hAnsi="宋体"/>
          <w:bCs/>
          <w:color w:val="000000"/>
          <w:sz w:val="24"/>
        </w:rPr>
        <w:t>递交的检查报告与费用预算除外。</w:t>
      </w:r>
    </w:p>
    <w:p>
      <w:pPr>
        <w:snapToGrid w:val="0"/>
        <w:spacing w:line="300" w:lineRule="auto"/>
        <w:ind w:right="-21" w:rightChars="-10"/>
        <w:jc w:val="left"/>
        <w:rPr>
          <w:rFonts w:ascii="宋体" w:hAnsi="宋体" w:cs="宋体"/>
          <w:b/>
          <w:bCs/>
          <w:color w:val="000000"/>
          <w:kern w:val="0"/>
          <w:sz w:val="24"/>
        </w:rPr>
      </w:pPr>
      <w:r>
        <w:rPr>
          <w:rFonts w:hint="eastAsia" w:ascii="宋体" w:hAnsi="宋体"/>
          <w:b/>
          <w:color w:val="000000"/>
          <w:sz w:val="24"/>
        </w:rPr>
        <w:t>十、争议解决方式</w:t>
      </w:r>
    </w:p>
    <w:p>
      <w:pPr>
        <w:snapToGrid w:val="0"/>
        <w:spacing w:line="300" w:lineRule="auto"/>
        <w:ind w:right="-21" w:rightChars="-10" w:firstLine="360" w:firstLineChars="150"/>
        <w:jc w:val="left"/>
        <w:rPr>
          <w:rFonts w:ascii="宋体" w:hAnsi="宋体"/>
          <w:b/>
          <w:bCs/>
          <w:color w:val="000000"/>
          <w:sz w:val="24"/>
        </w:rPr>
      </w:pPr>
      <w:r>
        <w:rPr>
          <w:rFonts w:hint="eastAsia" w:ascii="宋体" w:hAnsi="宋体"/>
          <w:bCs/>
          <w:color w:val="000000"/>
          <w:sz w:val="24"/>
        </w:rPr>
        <w:t>本合同在履行过程中发生的争议，由双方当事人协商解决或向有关部门申请调解，协商、调解不成的，可依法向</w:t>
      </w:r>
      <w:r>
        <w:rPr>
          <w:rFonts w:hint="eastAsia" w:ascii="宋体" w:hAnsi="宋体"/>
          <w:bCs/>
          <w:color w:val="000000"/>
          <w:sz w:val="24"/>
          <w:lang w:val="en-US" w:eastAsia="zh-CN"/>
        </w:rPr>
        <w:t>深圳市坪山区</w:t>
      </w:r>
      <w:r>
        <w:rPr>
          <w:rFonts w:hint="eastAsia" w:ascii="宋体" w:hAnsi="宋体"/>
          <w:bCs/>
          <w:color w:val="000000"/>
          <w:sz w:val="24"/>
        </w:rPr>
        <w:t>人民法院起诉。</w:t>
      </w:r>
      <w:r>
        <w:rPr>
          <w:rFonts w:hint="eastAsia" w:ascii="宋体" w:hAnsi="宋体"/>
          <w:sz w:val="24"/>
        </w:rPr>
        <w:t>守约方的相关维权费用（包括且不限于律师费、诉讼费、保全费、担保费、鉴定费、交通费、公证费、误工费等）均由违约方承担。</w:t>
      </w:r>
    </w:p>
    <w:p>
      <w:pPr>
        <w:snapToGrid w:val="0"/>
        <w:spacing w:line="300" w:lineRule="auto"/>
        <w:ind w:right="-21" w:rightChars="-10"/>
        <w:jc w:val="left"/>
        <w:rPr>
          <w:rFonts w:ascii="宋体" w:hAnsi="宋体"/>
          <w:b/>
          <w:bCs/>
          <w:color w:val="000000"/>
          <w:sz w:val="24"/>
        </w:rPr>
      </w:pPr>
      <w:r>
        <w:rPr>
          <w:rFonts w:hint="eastAsia" w:ascii="宋体" w:hAnsi="宋体"/>
          <w:b/>
          <w:bCs/>
          <w:color w:val="000000"/>
          <w:sz w:val="24"/>
        </w:rPr>
        <w:t>十一、维保报告送达</w:t>
      </w:r>
    </w:p>
    <w:p>
      <w:pPr>
        <w:tabs>
          <w:tab w:val="left" w:pos="900"/>
        </w:tabs>
        <w:spacing w:line="300" w:lineRule="auto"/>
        <w:rPr>
          <w:rFonts w:ascii="宋体" w:hAnsi="宋体"/>
          <w:b/>
          <w:color w:val="000000"/>
          <w:sz w:val="24"/>
        </w:rPr>
      </w:pPr>
      <w:r>
        <w:rPr>
          <w:rFonts w:hint="eastAsia" w:ascii="宋体" w:hAnsi="宋体"/>
          <w:bCs/>
          <w:color w:val="000000"/>
          <w:sz w:val="24"/>
          <w:lang w:eastAsia="zh-CN"/>
        </w:rPr>
        <w:t>丙方</w:t>
      </w:r>
      <w:r>
        <w:rPr>
          <w:rFonts w:hint="eastAsia" w:ascii="宋体" w:hAnsi="宋体"/>
          <w:bCs/>
          <w:color w:val="000000"/>
          <w:sz w:val="24"/>
        </w:rPr>
        <w:t>根据每月实际维保测试情况出具消防设施维保测试报告，可选择以快递形式送达</w:t>
      </w:r>
      <w:r>
        <w:rPr>
          <w:rFonts w:hint="eastAsia" w:ascii="宋体" w:hAnsi="宋体"/>
          <w:bCs/>
          <w:color w:val="000000"/>
          <w:sz w:val="24"/>
          <w:lang w:eastAsia="zh-CN"/>
        </w:rPr>
        <w:t>甲方、乙方</w:t>
      </w:r>
      <w:r>
        <w:rPr>
          <w:rFonts w:hint="eastAsia" w:ascii="宋体" w:hAnsi="宋体"/>
          <w:bCs/>
          <w:color w:val="000000"/>
          <w:sz w:val="24"/>
        </w:rPr>
        <w:t>如下地址：</w:t>
      </w:r>
      <w:r>
        <w:rPr>
          <w:rFonts w:hint="eastAsia" w:ascii="宋体" w:hAnsi="宋体" w:cs="宋体"/>
          <w:b/>
          <w:bCs/>
          <w:sz w:val="24"/>
          <w:u w:val="single"/>
        </w:rPr>
        <w:t>深圳市</w:t>
      </w:r>
      <w:r>
        <w:rPr>
          <w:rFonts w:hint="eastAsia" w:ascii="宋体" w:hAnsi="宋体" w:cs="宋体"/>
          <w:b/>
          <w:bCs/>
          <w:sz w:val="24"/>
          <w:u w:val="single"/>
          <w:lang w:eastAsia="zh-CN"/>
        </w:rPr>
        <w:t>中学坪山创新学校</w:t>
      </w:r>
      <w:r>
        <w:rPr>
          <w:rFonts w:hint="eastAsia" w:ascii="宋体" w:hAnsi="宋体"/>
          <w:bCs/>
          <w:color w:val="000000"/>
          <w:sz w:val="24"/>
          <w:u w:val="single"/>
          <w:lang w:eastAsia="zh-CN"/>
        </w:rPr>
        <w:t xml:space="preserve"> </w:t>
      </w:r>
      <w:r>
        <w:rPr>
          <w:rFonts w:hint="eastAsia" w:ascii="宋体" w:hAnsi="宋体"/>
          <w:bCs/>
          <w:color w:val="000000"/>
          <w:sz w:val="24"/>
        </w:rPr>
        <w:t>，联系人：</w:t>
      </w:r>
      <w:r>
        <w:rPr>
          <w:rFonts w:hint="eastAsia"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hint="eastAsia" w:ascii="宋体" w:hAnsi="宋体"/>
          <w:bCs/>
          <w:color w:val="000000"/>
          <w:sz w:val="24"/>
          <w:u w:val="single"/>
        </w:rPr>
        <w:t xml:space="preserve">   </w:t>
      </w:r>
      <w:r>
        <w:rPr>
          <w:rFonts w:hint="eastAsia" w:ascii="宋体" w:hAnsi="宋体"/>
          <w:bCs/>
          <w:color w:val="000000"/>
          <w:sz w:val="24"/>
        </w:rPr>
        <w:t xml:space="preserve"> 联系电话：</w:t>
      </w:r>
      <w:r>
        <w:rPr>
          <w:rFonts w:hint="eastAsia" w:ascii="宋体" w:hAnsi="宋体"/>
          <w:bCs/>
          <w:color w:val="000000"/>
          <w:sz w:val="24"/>
          <w:lang w:val="en-US" w:eastAsia="zh-CN"/>
        </w:rPr>
        <w:t xml:space="preserve">    </w:t>
      </w:r>
      <w:r>
        <w:rPr>
          <w:rFonts w:hint="eastAsia" w:ascii="宋体" w:hAnsi="宋体"/>
          <w:bCs/>
          <w:color w:val="000000"/>
          <w:sz w:val="24"/>
          <w:u w:val="single"/>
        </w:rPr>
        <w:t xml:space="preserve"> </w:t>
      </w:r>
      <w:r>
        <w:rPr>
          <w:rFonts w:hint="eastAsia" w:ascii="宋体" w:hAnsi="宋体"/>
          <w:bCs/>
          <w:color w:val="000000"/>
          <w:sz w:val="24"/>
        </w:rPr>
        <w:t xml:space="preserve">  ；或可通过电子邮件发送到</w:t>
      </w:r>
      <w:r>
        <w:rPr>
          <w:rFonts w:hint="eastAsia" w:ascii="宋体" w:hAnsi="宋体"/>
          <w:bCs/>
          <w:color w:val="000000"/>
          <w:sz w:val="24"/>
          <w:lang w:eastAsia="zh-CN"/>
        </w:rPr>
        <w:t>甲方、乙方</w:t>
      </w:r>
      <w:r>
        <w:rPr>
          <w:rFonts w:hint="eastAsia" w:ascii="宋体" w:hAnsi="宋体"/>
          <w:bCs/>
          <w:color w:val="000000"/>
          <w:sz w:val="24"/>
        </w:rPr>
        <w:t>指定的邮箱：</w:t>
      </w:r>
      <w:r>
        <w:rPr>
          <w:rFonts w:hint="eastAsia" w:ascii="宋体" w:hAnsi="宋体"/>
          <w:bCs/>
          <w:color w:val="000000"/>
          <w:sz w:val="24"/>
          <w:u w:val="single"/>
        </w:rPr>
        <w:t xml:space="preserve">                                 </w:t>
      </w:r>
      <w:r>
        <w:rPr>
          <w:rFonts w:hint="eastAsia" w:ascii="宋体" w:hAnsi="宋体"/>
          <w:bCs/>
          <w:color w:val="000000"/>
          <w:sz w:val="24"/>
        </w:rPr>
        <w:t>如以上地址或联系人变更请</w:t>
      </w:r>
      <w:r>
        <w:rPr>
          <w:rFonts w:hint="eastAsia" w:ascii="宋体" w:hAnsi="宋体"/>
          <w:bCs/>
          <w:color w:val="000000"/>
          <w:sz w:val="24"/>
          <w:lang w:eastAsia="zh-CN"/>
        </w:rPr>
        <w:t>甲方、乙方</w:t>
      </w:r>
      <w:r>
        <w:rPr>
          <w:rFonts w:hint="eastAsia" w:ascii="宋体" w:hAnsi="宋体"/>
          <w:bCs/>
          <w:color w:val="000000"/>
          <w:sz w:val="24"/>
        </w:rPr>
        <w:t>书面函告</w:t>
      </w:r>
      <w:r>
        <w:rPr>
          <w:rFonts w:hint="eastAsia" w:ascii="宋体" w:hAnsi="宋体"/>
          <w:bCs/>
          <w:color w:val="000000"/>
          <w:sz w:val="24"/>
          <w:lang w:eastAsia="zh-CN"/>
        </w:rPr>
        <w:t>丙方</w:t>
      </w:r>
      <w:r>
        <w:rPr>
          <w:rFonts w:hint="eastAsia" w:ascii="宋体" w:hAnsi="宋体"/>
          <w:bCs/>
          <w:color w:val="000000"/>
          <w:sz w:val="24"/>
        </w:rPr>
        <w:t>，否则由此导致维保报告无法正常送达的，由</w:t>
      </w:r>
      <w:r>
        <w:rPr>
          <w:rFonts w:hint="eastAsia" w:ascii="宋体" w:hAnsi="宋体"/>
          <w:bCs/>
          <w:color w:val="000000"/>
          <w:sz w:val="24"/>
          <w:lang w:eastAsia="zh-CN"/>
        </w:rPr>
        <w:t>甲方、乙方</w:t>
      </w:r>
      <w:r>
        <w:rPr>
          <w:rFonts w:hint="eastAsia" w:ascii="宋体" w:hAnsi="宋体"/>
          <w:bCs/>
          <w:color w:val="000000"/>
          <w:sz w:val="24"/>
        </w:rPr>
        <w:t>自行负责。</w:t>
      </w:r>
    </w:p>
    <w:p>
      <w:pPr>
        <w:snapToGrid w:val="0"/>
        <w:spacing w:line="300" w:lineRule="auto"/>
        <w:ind w:right="-21" w:rightChars="-10"/>
        <w:jc w:val="left"/>
        <w:rPr>
          <w:rFonts w:ascii="宋体" w:hAnsi="宋体"/>
          <w:b/>
          <w:color w:val="000000"/>
          <w:sz w:val="24"/>
        </w:rPr>
      </w:pPr>
      <w:r>
        <w:rPr>
          <w:rFonts w:hint="eastAsia" w:ascii="宋体" w:hAnsi="宋体"/>
          <w:b/>
          <w:color w:val="000000"/>
          <w:sz w:val="24"/>
        </w:rPr>
        <w:t>十二、双方协商的其他事项：</w:t>
      </w:r>
    </w:p>
    <w:p>
      <w:pPr>
        <w:snapToGrid w:val="0"/>
        <w:spacing w:line="300" w:lineRule="auto"/>
        <w:ind w:right="-21" w:rightChars="-10"/>
        <w:jc w:val="left"/>
        <w:rPr>
          <w:rFonts w:ascii="宋体" w:hAnsi="宋体"/>
          <w:bCs/>
          <w:color w:val="000000"/>
          <w:sz w:val="24"/>
        </w:rPr>
      </w:pPr>
      <w:r>
        <w:rPr>
          <w:rFonts w:hint="eastAsia" w:ascii="宋体" w:hAnsi="宋体"/>
          <w:color w:val="000000"/>
          <w:sz w:val="24"/>
        </w:rPr>
        <w:t>_____</w:t>
      </w:r>
      <w:r>
        <w:rPr>
          <w:rFonts w:hint="eastAsia" w:ascii="宋体" w:hAnsi="宋体"/>
          <w:color w:val="000000"/>
          <w:sz w:val="24"/>
          <w:lang w:val="en-US" w:eastAsia="zh-CN"/>
        </w:rPr>
        <w:t>/</w:t>
      </w:r>
      <w:r>
        <w:rPr>
          <w:rFonts w:hint="eastAsia" w:ascii="宋体" w:hAnsi="宋体"/>
          <w:color w:val="000000"/>
          <w:sz w:val="24"/>
        </w:rPr>
        <w:t>_________________________________________________</w:t>
      </w:r>
    </w:p>
    <w:p>
      <w:pPr>
        <w:snapToGrid w:val="0"/>
        <w:spacing w:line="300" w:lineRule="auto"/>
        <w:ind w:right="-21" w:rightChars="-10"/>
        <w:jc w:val="left"/>
        <w:rPr>
          <w:rFonts w:ascii="宋体" w:hAnsi="宋体"/>
          <w:b/>
          <w:bCs/>
          <w:color w:val="000000"/>
          <w:sz w:val="24"/>
        </w:rPr>
      </w:pPr>
      <w:r>
        <w:rPr>
          <w:rFonts w:hint="eastAsia" w:ascii="宋体" w:hAnsi="宋体"/>
          <w:b/>
          <w:color w:val="000000"/>
          <w:sz w:val="24"/>
        </w:rPr>
        <w:t>十三、附则</w:t>
      </w:r>
    </w:p>
    <w:p>
      <w:pPr>
        <w:numPr>
          <w:ilvl w:val="0"/>
          <w:numId w:val="14"/>
        </w:numPr>
        <w:snapToGrid w:val="0"/>
        <w:spacing w:line="300" w:lineRule="auto"/>
        <w:ind w:right="-21" w:rightChars="-10"/>
        <w:jc w:val="left"/>
        <w:rPr>
          <w:rFonts w:ascii="宋体" w:hAnsi="宋体"/>
          <w:color w:val="000000"/>
          <w:kern w:val="0"/>
          <w:sz w:val="24"/>
        </w:rPr>
      </w:pPr>
      <w:r>
        <w:rPr>
          <w:rFonts w:hint="eastAsia" w:ascii="宋体" w:hAnsi="宋体"/>
          <w:bCs/>
          <w:color w:val="000000"/>
          <w:kern w:val="0"/>
          <w:sz w:val="24"/>
        </w:rPr>
        <w:t>合同生效：本合同自双方代表签字并加盖公章后生效。</w:t>
      </w:r>
    </w:p>
    <w:p>
      <w:pPr>
        <w:numPr>
          <w:ilvl w:val="0"/>
          <w:numId w:val="14"/>
        </w:numPr>
        <w:snapToGrid w:val="0"/>
        <w:spacing w:line="300" w:lineRule="auto"/>
        <w:ind w:right="-21" w:rightChars="-10"/>
        <w:jc w:val="left"/>
        <w:rPr>
          <w:rFonts w:ascii="宋体" w:hAnsi="宋体"/>
          <w:color w:val="000000"/>
          <w:kern w:val="0"/>
          <w:sz w:val="24"/>
        </w:rPr>
      </w:pPr>
      <w:r>
        <w:rPr>
          <w:rFonts w:hint="eastAsia" w:ascii="宋体" w:hAnsi="宋体"/>
          <w:bCs/>
          <w:color w:val="000000"/>
          <w:kern w:val="0"/>
          <w:sz w:val="24"/>
        </w:rPr>
        <w:t>本合同壹式</w:t>
      </w:r>
      <w:r>
        <w:rPr>
          <w:rFonts w:hint="eastAsia" w:ascii="宋体" w:hAnsi="宋体"/>
          <w:bCs/>
          <w:color w:val="000000"/>
          <w:kern w:val="0"/>
          <w:sz w:val="24"/>
          <w:lang w:val="en-US" w:eastAsia="zh-CN"/>
        </w:rPr>
        <w:t>玖</w:t>
      </w:r>
      <w:r>
        <w:rPr>
          <w:rFonts w:hint="eastAsia" w:ascii="宋体" w:hAnsi="宋体"/>
          <w:bCs/>
          <w:color w:val="000000"/>
          <w:kern w:val="0"/>
          <w:sz w:val="24"/>
        </w:rPr>
        <w:t>份。</w:t>
      </w:r>
    </w:p>
    <w:p>
      <w:pPr>
        <w:numPr>
          <w:ilvl w:val="0"/>
          <w:numId w:val="14"/>
        </w:numPr>
        <w:snapToGrid w:val="0"/>
        <w:spacing w:line="300" w:lineRule="auto"/>
        <w:ind w:right="-21" w:rightChars="-10"/>
        <w:jc w:val="left"/>
        <w:rPr>
          <w:rFonts w:ascii="宋体" w:hAnsi="宋体"/>
          <w:color w:val="000000"/>
          <w:kern w:val="0"/>
          <w:sz w:val="24"/>
        </w:rPr>
      </w:pPr>
      <w:r>
        <w:rPr>
          <w:rFonts w:hint="eastAsia" w:ascii="宋体" w:hAnsi="宋体"/>
          <w:bCs/>
          <w:color w:val="000000"/>
          <w:kern w:val="0"/>
          <w:sz w:val="24"/>
        </w:rPr>
        <w:t>合同附件是合同重要组成部分，具有同等法律效力。</w:t>
      </w:r>
    </w:p>
    <w:p>
      <w:pPr>
        <w:numPr>
          <w:ilvl w:val="0"/>
          <w:numId w:val="14"/>
        </w:numPr>
        <w:snapToGrid w:val="0"/>
        <w:spacing w:line="300" w:lineRule="auto"/>
        <w:ind w:right="-21" w:rightChars="-10"/>
        <w:jc w:val="left"/>
        <w:rPr>
          <w:rFonts w:ascii="宋体" w:hAnsi="宋体"/>
          <w:bCs/>
          <w:color w:val="000000"/>
          <w:kern w:val="0"/>
          <w:sz w:val="24"/>
        </w:rPr>
      </w:pPr>
      <w:r>
        <w:rPr>
          <w:rFonts w:hint="eastAsia" w:ascii="宋体" w:hAnsi="宋体"/>
          <w:bCs/>
          <w:color w:val="000000"/>
          <w:kern w:val="0"/>
          <w:sz w:val="24"/>
        </w:rPr>
        <w:t>合同未尽事宜，经甲乙双方协商一致后，可另行签订补充协议。补充协议作为合同组成部分，与本合同具有同等法律效力。</w:t>
      </w:r>
    </w:p>
    <w:p>
      <w:pPr>
        <w:snapToGrid w:val="0"/>
        <w:spacing w:line="300" w:lineRule="auto"/>
        <w:ind w:right="-21" w:rightChars="-10"/>
        <w:jc w:val="left"/>
        <w:rPr>
          <w:rFonts w:ascii="宋体" w:hAnsi="宋体"/>
          <w:bCs/>
          <w:color w:val="000000"/>
          <w:kern w:val="0"/>
          <w:sz w:val="24"/>
        </w:rPr>
      </w:pPr>
      <w:r>
        <w:rPr>
          <w:rFonts w:hint="eastAsia" w:ascii="宋体" w:hAnsi="宋体"/>
          <w:bCs/>
          <w:color w:val="000000"/>
          <w:kern w:val="0"/>
          <w:sz w:val="24"/>
          <w:lang w:eastAsia="zh-CN"/>
        </w:rPr>
        <w:t>甲方</w:t>
      </w:r>
      <w:r>
        <w:rPr>
          <w:rFonts w:hint="eastAsia" w:ascii="宋体" w:hAnsi="宋体"/>
          <w:bCs/>
          <w:color w:val="000000"/>
          <w:kern w:val="0"/>
          <w:sz w:val="24"/>
        </w:rPr>
        <w:t xml:space="preserve">（盖章）：                         </w:t>
      </w:r>
      <w:r>
        <w:rPr>
          <w:rFonts w:hint="eastAsia" w:ascii="宋体" w:hAnsi="宋体"/>
          <w:bCs/>
          <w:color w:val="000000"/>
          <w:kern w:val="0"/>
          <w:sz w:val="24"/>
          <w:lang w:val="en-US" w:eastAsia="zh-CN"/>
        </w:rPr>
        <w:t>乙</w:t>
      </w:r>
      <w:r>
        <w:rPr>
          <w:rFonts w:hint="eastAsia" w:ascii="宋体" w:hAnsi="宋体"/>
          <w:bCs/>
          <w:color w:val="000000"/>
          <w:kern w:val="0"/>
          <w:sz w:val="24"/>
          <w:lang w:eastAsia="zh-CN"/>
        </w:rPr>
        <w:t>方</w:t>
      </w:r>
      <w:r>
        <w:rPr>
          <w:rFonts w:hint="eastAsia" w:ascii="宋体" w:hAnsi="宋体"/>
          <w:bCs/>
          <w:color w:val="000000"/>
          <w:kern w:val="0"/>
          <w:sz w:val="24"/>
        </w:rPr>
        <w:t>（盖章）：</w:t>
      </w:r>
    </w:p>
    <w:p>
      <w:pPr>
        <w:spacing w:line="300" w:lineRule="auto"/>
        <w:rPr>
          <w:rFonts w:hint="eastAsia" w:ascii="宋体" w:hAnsi="宋体"/>
          <w:bCs/>
          <w:sz w:val="24"/>
        </w:rPr>
      </w:pPr>
    </w:p>
    <w:p>
      <w:pPr>
        <w:spacing w:line="300" w:lineRule="auto"/>
        <w:rPr>
          <w:rFonts w:ascii="宋体" w:hAnsi="宋体"/>
          <w:bCs/>
          <w:sz w:val="24"/>
        </w:rPr>
      </w:pPr>
      <w:r>
        <w:rPr>
          <w:rFonts w:hint="eastAsia" w:ascii="宋体" w:hAnsi="宋体"/>
          <w:bCs/>
          <w:sz w:val="24"/>
        </w:rPr>
        <w:t>法定代表人（签字):                     法定代表人（签字）:</w:t>
      </w:r>
    </w:p>
    <w:p>
      <w:pPr>
        <w:spacing w:line="300" w:lineRule="auto"/>
        <w:rPr>
          <w:rFonts w:hint="eastAsia" w:ascii="宋体" w:hAnsi="宋体"/>
          <w:bCs/>
          <w:sz w:val="24"/>
        </w:rPr>
      </w:pPr>
    </w:p>
    <w:p>
      <w:pPr>
        <w:spacing w:line="300" w:lineRule="auto"/>
        <w:rPr>
          <w:rFonts w:ascii="宋体" w:hAnsi="宋体"/>
          <w:bCs/>
          <w:sz w:val="24"/>
        </w:rPr>
      </w:pPr>
      <w:r>
        <w:rPr>
          <w:rFonts w:hint="eastAsia" w:ascii="宋体" w:hAnsi="宋体"/>
          <w:bCs/>
          <w:sz w:val="24"/>
        </w:rPr>
        <w:t>委托代理人：                           委托代理人：</w:t>
      </w:r>
    </w:p>
    <w:p>
      <w:pPr>
        <w:snapToGrid w:val="0"/>
        <w:spacing w:line="300" w:lineRule="auto"/>
        <w:ind w:right="-21" w:rightChars="-10"/>
        <w:jc w:val="left"/>
        <w:rPr>
          <w:rFonts w:ascii="宋体" w:hAnsi="宋体"/>
          <w:bCs/>
          <w:color w:val="000000"/>
          <w:kern w:val="0"/>
          <w:sz w:val="24"/>
        </w:rPr>
      </w:pPr>
    </w:p>
    <w:p>
      <w:pPr>
        <w:snapToGrid w:val="0"/>
        <w:spacing w:line="300" w:lineRule="auto"/>
        <w:ind w:right="-21" w:rightChars="-10"/>
        <w:jc w:val="left"/>
        <w:rPr>
          <w:rFonts w:hint="eastAsia" w:ascii="宋体" w:hAnsi="宋体"/>
          <w:bCs/>
          <w:color w:val="000000"/>
          <w:kern w:val="0"/>
          <w:sz w:val="24"/>
        </w:rPr>
      </w:pPr>
      <w:r>
        <w:rPr>
          <w:rFonts w:hint="eastAsia" w:ascii="宋体" w:hAnsi="宋体"/>
          <w:bCs/>
          <w:color w:val="000000"/>
          <w:kern w:val="0"/>
          <w:sz w:val="24"/>
        </w:rPr>
        <w:t>日期：</w:t>
      </w:r>
      <w:r>
        <w:rPr>
          <w:rFonts w:hint="eastAsia" w:ascii="宋体" w:hAnsi="宋体"/>
          <w:bCs/>
          <w:color w:val="000000"/>
          <w:kern w:val="0"/>
          <w:sz w:val="24"/>
          <w:u w:val="single"/>
        </w:rPr>
        <w:t xml:space="preserve">   </w:t>
      </w:r>
      <w:r>
        <w:rPr>
          <w:rFonts w:hint="eastAsia" w:ascii="宋体" w:hAnsi="宋体"/>
          <w:bCs/>
          <w:color w:val="000000"/>
          <w:kern w:val="0"/>
          <w:sz w:val="24"/>
        </w:rPr>
        <w:t>年</w:t>
      </w:r>
      <w:r>
        <w:rPr>
          <w:rFonts w:hint="eastAsia" w:ascii="宋体" w:hAnsi="宋体"/>
          <w:bCs/>
          <w:color w:val="000000"/>
          <w:kern w:val="0"/>
          <w:sz w:val="24"/>
          <w:u w:val="single"/>
        </w:rPr>
        <w:t xml:space="preserve">   </w:t>
      </w:r>
      <w:r>
        <w:rPr>
          <w:rFonts w:hint="eastAsia" w:ascii="宋体" w:hAnsi="宋体"/>
          <w:bCs/>
          <w:color w:val="000000"/>
          <w:kern w:val="0"/>
          <w:sz w:val="24"/>
        </w:rPr>
        <w:t>月</w:t>
      </w:r>
      <w:r>
        <w:rPr>
          <w:rFonts w:hint="eastAsia" w:ascii="宋体" w:hAnsi="宋体"/>
          <w:bCs/>
          <w:color w:val="000000"/>
          <w:kern w:val="0"/>
          <w:sz w:val="24"/>
          <w:u w:val="single"/>
        </w:rPr>
        <w:t xml:space="preserve">   </w:t>
      </w:r>
      <w:r>
        <w:rPr>
          <w:rFonts w:hint="eastAsia" w:ascii="宋体" w:hAnsi="宋体"/>
          <w:bCs/>
          <w:color w:val="000000"/>
          <w:kern w:val="0"/>
          <w:sz w:val="24"/>
        </w:rPr>
        <w:t>日                  日期：</w:t>
      </w:r>
      <w:r>
        <w:rPr>
          <w:rFonts w:hint="eastAsia" w:ascii="宋体" w:hAnsi="宋体"/>
          <w:bCs/>
          <w:color w:val="000000"/>
          <w:kern w:val="0"/>
          <w:sz w:val="24"/>
          <w:u w:val="single"/>
        </w:rPr>
        <w:t xml:space="preserve">   </w:t>
      </w:r>
      <w:r>
        <w:rPr>
          <w:rFonts w:hint="eastAsia" w:ascii="宋体" w:hAnsi="宋体"/>
          <w:bCs/>
          <w:color w:val="000000"/>
          <w:kern w:val="0"/>
          <w:sz w:val="24"/>
        </w:rPr>
        <w:t>年</w:t>
      </w:r>
      <w:r>
        <w:rPr>
          <w:rFonts w:hint="eastAsia" w:ascii="宋体" w:hAnsi="宋体"/>
          <w:bCs/>
          <w:color w:val="000000"/>
          <w:kern w:val="0"/>
          <w:sz w:val="24"/>
          <w:u w:val="single"/>
        </w:rPr>
        <w:t xml:space="preserve">   </w:t>
      </w:r>
      <w:r>
        <w:rPr>
          <w:rFonts w:hint="eastAsia" w:ascii="宋体" w:hAnsi="宋体"/>
          <w:bCs/>
          <w:color w:val="000000"/>
          <w:kern w:val="0"/>
          <w:sz w:val="24"/>
        </w:rPr>
        <w:t>月</w:t>
      </w:r>
      <w:r>
        <w:rPr>
          <w:rFonts w:hint="eastAsia" w:ascii="宋体" w:hAnsi="宋体"/>
          <w:bCs/>
          <w:color w:val="000000"/>
          <w:kern w:val="0"/>
          <w:sz w:val="24"/>
          <w:u w:val="single"/>
        </w:rPr>
        <w:t xml:space="preserve">   </w:t>
      </w:r>
      <w:r>
        <w:rPr>
          <w:rFonts w:hint="eastAsia" w:ascii="宋体" w:hAnsi="宋体"/>
          <w:bCs/>
          <w:color w:val="000000"/>
          <w:kern w:val="0"/>
          <w:sz w:val="24"/>
        </w:rPr>
        <w:t xml:space="preserve">日 </w:t>
      </w:r>
    </w:p>
    <w:p>
      <w:pPr>
        <w:snapToGrid w:val="0"/>
        <w:spacing w:line="300" w:lineRule="auto"/>
        <w:ind w:right="-21" w:rightChars="-10"/>
        <w:jc w:val="left"/>
        <w:rPr>
          <w:rFonts w:hint="eastAsia" w:ascii="宋体" w:hAnsi="宋体"/>
          <w:bCs/>
          <w:color w:val="000000"/>
          <w:kern w:val="0"/>
          <w:sz w:val="24"/>
          <w:lang w:eastAsia="zh-CN"/>
        </w:rPr>
      </w:pPr>
    </w:p>
    <w:p>
      <w:pPr>
        <w:snapToGrid w:val="0"/>
        <w:spacing w:line="300" w:lineRule="auto"/>
        <w:ind w:right="-21" w:rightChars="-10"/>
        <w:jc w:val="left"/>
        <w:rPr>
          <w:rFonts w:ascii="宋体" w:hAnsi="宋体"/>
          <w:bCs/>
          <w:color w:val="000000"/>
          <w:kern w:val="0"/>
          <w:sz w:val="24"/>
        </w:rPr>
      </w:pPr>
      <w:r>
        <w:rPr>
          <w:rFonts w:hint="eastAsia" w:ascii="宋体" w:hAnsi="宋体"/>
          <w:bCs/>
          <w:color w:val="000000"/>
          <w:kern w:val="0"/>
          <w:sz w:val="24"/>
          <w:lang w:eastAsia="zh-CN"/>
        </w:rPr>
        <w:t>丙方</w:t>
      </w:r>
      <w:r>
        <w:rPr>
          <w:rFonts w:hint="eastAsia" w:ascii="宋体" w:hAnsi="宋体"/>
          <w:bCs/>
          <w:color w:val="000000"/>
          <w:kern w:val="0"/>
          <w:sz w:val="24"/>
        </w:rPr>
        <w:t>（盖章）：</w:t>
      </w:r>
    </w:p>
    <w:p>
      <w:pPr>
        <w:spacing w:line="300" w:lineRule="auto"/>
        <w:rPr>
          <w:rFonts w:hint="eastAsia" w:ascii="宋体" w:hAnsi="宋体"/>
          <w:bCs/>
          <w:sz w:val="24"/>
        </w:rPr>
      </w:pPr>
    </w:p>
    <w:p>
      <w:pPr>
        <w:spacing w:line="300" w:lineRule="auto"/>
        <w:rPr>
          <w:rFonts w:ascii="宋体" w:hAnsi="宋体"/>
          <w:bCs/>
          <w:sz w:val="24"/>
        </w:rPr>
      </w:pPr>
      <w:r>
        <w:rPr>
          <w:rFonts w:hint="eastAsia" w:ascii="宋体" w:hAnsi="宋体"/>
          <w:bCs/>
          <w:sz w:val="24"/>
        </w:rPr>
        <w:t>法定代表人（签字）:</w:t>
      </w:r>
    </w:p>
    <w:p>
      <w:pPr>
        <w:spacing w:line="300" w:lineRule="auto"/>
        <w:rPr>
          <w:rFonts w:hint="eastAsia" w:ascii="宋体" w:hAnsi="宋体"/>
          <w:bCs/>
          <w:sz w:val="24"/>
        </w:rPr>
      </w:pPr>
    </w:p>
    <w:p>
      <w:pPr>
        <w:spacing w:line="300" w:lineRule="auto"/>
        <w:rPr>
          <w:rFonts w:ascii="宋体" w:hAnsi="宋体"/>
          <w:bCs/>
          <w:sz w:val="24"/>
        </w:rPr>
      </w:pPr>
      <w:r>
        <w:rPr>
          <w:rFonts w:hint="eastAsia" w:ascii="宋体" w:hAnsi="宋体"/>
          <w:bCs/>
          <w:sz w:val="24"/>
        </w:rPr>
        <w:t>委托代理人：</w:t>
      </w:r>
    </w:p>
    <w:p>
      <w:pPr>
        <w:snapToGrid w:val="0"/>
        <w:spacing w:line="300" w:lineRule="auto"/>
        <w:ind w:right="-21" w:rightChars="-10"/>
        <w:jc w:val="left"/>
        <w:rPr>
          <w:rFonts w:ascii="宋体" w:hAnsi="宋体"/>
          <w:bCs/>
          <w:color w:val="000000"/>
          <w:kern w:val="0"/>
          <w:sz w:val="24"/>
        </w:rPr>
      </w:pPr>
    </w:p>
    <w:p>
      <w:pPr>
        <w:snapToGrid w:val="0"/>
        <w:spacing w:line="300" w:lineRule="auto"/>
        <w:ind w:right="-21" w:rightChars="-10"/>
        <w:jc w:val="left"/>
        <w:rPr>
          <w:rFonts w:ascii="宋体" w:hAnsi="宋体"/>
          <w:bCs/>
          <w:color w:val="000000"/>
          <w:kern w:val="0"/>
          <w:sz w:val="24"/>
        </w:rPr>
      </w:pPr>
      <w:r>
        <w:rPr>
          <w:rFonts w:hint="eastAsia" w:ascii="宋体" w:hAnsi="宋体"/>
          <w:bCs/>
          <w:color w:val="000000"/>
          <w:kern w:val="0"/>
          <w:sz w:val="24"/>
        </w:rPr>
        <w:t>日期：</w:t>
      </w:r>
      <w:r>
        <w:rPr>
          <w:rFonts w:hint="eastAsia" w:ascii="宋体" w:hAnsi="宋体"/>
          <w:bCs/>
          <w:color w:val="000000"/>
          <w:kern w:val="0"/>
          <w:sz w:val="24"/>
          <w:u w:val="single"/>
        </w:rPr>
        <w:t xml:space="preserve">   </w:t>
      </w:r>
      <w:r>
        <w:rPr>
          <w:rFonts w:hint="eastAsia" w:ascii="宋体" w:hAnsi="宋体"/>
          <w:bCs/>
          <w:color w:val="000000"/>
          <w:kern w:val="0"/>
          <w:sz w:val="24"/>
        </w:rPr>
        <w:t>年</w:t>
      </w:r>
      <w:r>
        <w:rPr>
          <w:rFonts w:hint="eastAsia" w:ascii="宋体" w:hAnsi="宋体"/>
          <w:bCs/>
          <w:color w:val="000000"/>
          <w:kern w:val="0"/>
          <w:sz w:val="24"/>
          <w:u w:val="single"/>
        </w:rPr>
        <w:t xml:space="preserve">   </w:t>
      </w:r>
      <w:r>
        <w:rPr>
          <w:rFonts w:hint="eastAsia" w:ascii="宋体" w:hAnsi="宋体"/>
          <w:bCs/>
          <w:color w:val="000000"/>
          <w:kern w:val="0"/>
          <w:sz w:val="24"/>
        </w:rPr>
        <w:t>月</w:t>
      </w:r>
      <w:r>
        <w:rPr>
          <w:rFonts w:hint="eastAsia" w:ascii="宋体" w:hAnsi="宋体"/>
          <w:bCs/>
          <w:color w:val="000000"/>
          <w:kern w:val="0"/>
          <w:sz w:val="24"/>
          <w:u w:val="single"/>
        </w:rPr>
        <w:t xml:space="preserve">   </w:t>
      </w:r>
      <w:r>
        <w:rPr>
          <w:rFonts w:hint="eastAsia" w:ascii="宋体" w:hAnsi="宋体"/>
          <w:bCs/>
          <w:color w:val="000000"/>
          <w:kern w:val="0"/>
          <w:sz w:val="24"/>
        </w:rPr>
        <w:t xml:space="preserve">日 </w:t>
      </w:r>
    </w:p>
    <w:p>
      <w:pPr>
        <w:pStyle w:val="8"/>
        <w:rPr>
          <w:rFonts w:hint="default"/>
          <w:lang w:val="en-US" w:eastAsia="zh-CN"/>
        </w:rPr>
      </w:pPr>
    </w:p>
    <w:p>
      <w:pPr>
        <w:pStyle w:val="2"/>
      </w:pPr>
    </w:p>
    <w:p>
      <w:pPr>
        <w:pStyle w:val="8"/>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经典等线简">
    <w:altName w:val="宋体"/>
    <w:panose1 w:val="00000000000000000000"/>
    <w:charset w:val="86"/>
    <w:family w:val="modern"/>
    <w:pitch w:val="default"/>
    <w:sig w:usb0="00000000" w:usb1="00000000" w:usb2="0000001E"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318E1"/>
    <w:multiLevelType w:val="singleLevel"/>
    <w:tmpl w:val="991318E1"/>
    <w:lvl w:ilvl="0" w:tentative="0">
      <w:start w:val="1"/>
      <w:numFmt w:val="decimal"/>
      <w:lvlText w:val="%1."/>
      <w:lvlJc w:val="left"/>
      <w:pPr>
        <w:tabs>
          <w:tab w:val="left" w:pos="312"/>
        </w:tabs>
      </w:pPr>
    </w:lvl>
  </w:abstractNum>
  <w:abstractNum w:abstractNumId="1">
    <w:nsid w:val="AE121435"/>
    <w:multiLevelType w:val="singleLevel"/>
    <w:tmpl w:val="AE121435"/>
    <w:lvl w:ilvl="0" w:tentative="0">
      <w:start w:val="5"/>
      <w:numFmt w:val="decimal"/>
      <w:suff w:val="nothing"/>
      <w:lvlText w:val="%1）"/>
      <w:lvlJc w:val="left"/>
    </w:lvl>
  </w:abstractNum>
  <w:abstractNum w:abstractNumId="2">
    <w:nsid w:val="BD5AEC56"/>
    <w:multiLevelType w:val="singleLevel"/>
    <w:tmpl w:val="BD5AEC56"/>
    <w:lvl w:ilvl="0" w:tentative="0">
      <w:start w:val="1"/>
      <w:numFmt w:val="upperLetter"/>
      <w:lvlText w:val="%1."/>
      <w:lvlJc w:val="left"/>
      <w:pPr>
        <w:ind w:left="425" w:hanging="425"/>
      </w:pPr>
      <w:rPr>
        <w:rFonts w:hint="default"/>
      </w:rPr>
    </w:lvl>
  </w:abstractNum>
  <w:abstractNum w:abstractNumId="3">
    <w:nsid w:val="E0E8A033"/>
    <w:multiLevelType w:val="singleLevel"/>
    <w:tmpl w:val="E0E8A033"/>
    <w:lvl w:ilvl="0" w:tentative="0">
      <w:start w:val="1"/>
      <w:numFmt w:val="chineseCounting"/>
      <w:suff w:val="nothing"/>
      <w:lvlText w:val="%1、"/>
      <w:lvlJc w:val="left"/>
      <w:rPr>
        <w:rFonts w:hint="eastAsia"/>
      </w:rPr>
    </w:lvl>
  </w:abstractNum>
  <w:abstractNum w:abstractNumId="4">
    <w:nsid w:val="EEFAF984"/>
    <w:multiLevelType w:val="singleLevel"/>
    <w:tmpl w:val="EEFAF984"/>
    <w:lvl w:ilvl="0" w:tentative="0">
      <w:start w:val="1"/>
      <w:numFmt w:val="chineseCounting"/>
      <w:suff w:val="space"/>
      <w:lvlText w:val="%1、"/>
      <w:lvlJc w:val="left"/>
      <w:rPr>
        <w:rFonts w:hint="eastAsia"/>
      </w:rPr>
    </w:lvl>
  </w:abstractNum>
  <w:abstractNum w:abstractNumId="5">
    <w:nsid w:val="F03706D3"/>
    <w:multiLevelType w:val="singleLevel"/>
    <w:tmpl w:val="F03706D3"/>
    <w:lvl w:ilvl="0" w:tentative="0">
      <w:start w:val="6"/>
      <w:numFmt w:val="decimal"/>
      <w:suff w:val="nothing"/>
      <w:lvlText w:val="%1、"/>
      <w:lvlJc w:val="left"/>
    </w:lvl>
  </w:abstractNum>
  <w:abstractNum w:abstractNumId="6">
    <w:nsid w:val="00000000"/>
    <w:multiLevelType w:val="multilevel"/>
    <w:tmpl w:val="00000000"/>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00000001"/>
    <w:multiLevelType w:val="multilevel"/>
    <w:tmpl w:val="00000001"/>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00000002"/>
    <w:multiLevelType w:val="multilevel"/>
    <w:tmpl w:val="0000000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00000003"/>
    <w:multiLevelType w:val="multilevel"/>
    <w:tmpl w:val="0000000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00000004"/>
    <w:multiLevelType w:val="multilevel"/>
    <w:tmpl w:val="00000004"/>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00000005"/>
    <w:multiLevelType w:val="multilevel"/>
    <w:tmpl w:val="00000005"/>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41D63A30"/>
    <w:multiLevelType w:val="multilevel"/>
    <w:tmpl w:val="41D63A30"/>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7B1E7E13"/>
    <w:multiLevelType w:val="multilevel"/>
    <w:tmpl w:val="7B1E7E13"/>
    <w:lvl w:ilvl="0" w:tentative="0">
      <w:start w:val="2"/>
      <w:numFmt w:val="japaneseCounting"/>
      <w:lvlText w:val="（%1）"/>
      <w:lvlJc w:val="left"/>
      <w:pPr>
        <w:ind w:left="1245" w:hanging="1080"/>
      </w:pPr>
      <w:rPr>
        <w:rFonts w:hint="default"/>
      </w:rPr>
    </w:lvl>
    <w:lvl w:ilvl="1" w:tentative="0">
      <w:start w:val="1"/>
      <w:numFmt w:val="lowerLetter"/>
      <w:lvlText w:val="%2)"/>
      <w:lvlJc w:val="left"/>
      <w:pPr>
        <w:ind w:left="1005" w:hanging="420"/>
      </w:pPr>
    </w:lvl>
    <w:lvl w:ilvl="2" w:tentative="0">
      <w:start w:val="1"/>
      <w:numFmt w:val="lowerRoman"/>
      <w:lvlText w:val="%3."/>
      <w:lvlJc w:val="right"/>
      <w:pPr>
        <w:ind w:left="1425" w:hanging="420"/>
      </w:pPr>
    </w:lvl>
    <w:lvl w:ilvl="3" w:tentative="0">
      <w:start w:val="1"/>
      <w:numFmt w:val="decimal"/>
      <w:lvlText w:val="%4."/>
      <w:lvlJc w:val="left"/>
      <w:pPr>
        <w:ind w:left="1845" w:hanging="420"/>
      </w:pPr>
    </w:lvl>
    <w:lvl w:ilvl="4" w:tentative="0">
      <w:start w:val="1"/>
      <w:numFmt w:val="lowerLetter"/>
      <w:lvlText w:val="%5)"/>
      <w:lvlJc w:val="left"/>
      <w:pPr>
        <w:ind w:left="2265" w:hanging="420"/>
      </w:pPr>
    </w:lvl>
    <w:lvl w:ilvl="5" w:tentative="0">
      <w:start w:val="1"/>
      <w:numFmt w:val="lowerRoman"/>
      <w:lvlText w:val="%6."/>
      <w:lvlJc w:val="right"/>
      <w:pPr>
        <w:ind w:left="2685" w:hanging="420"/>
      </w:pPr>
    </w:lvl>
    <w:lvl w:ilvl="6" w:tentative="0">
      <w:start w:val="1"/>
      <w:numFmt w:val="decimal"/>
      <w:lvlText w:val="%7."/>
      <w:lvlJc w:val="left"/>
      <w:pPr>
        <w:ind w:left="3105" w:hanging="420"/>
      </w:pPr>
    </w:lvl>
    <w:lvl w:ilvl="7" w:tentative="0">
      <w:start w:val="1"/>
      <w:numFmt w:val="lowerLetter"/>
      <w:lvlText w:val="%8)"/>
      <w:lvlJc w:val="left"/>
      <w:pPr>
        <w:ind w:left="3525" w:hanging="420"/>
      </w:pPr>
    </w:lvl>
    <w:lvl w:ilvl="8" w:tentative="0">
      <w:start w:val="1"/>
      <w:numFmt w:val="lowerRoman"/>
      <w:lvlText w:val="%9."/>
      <w:lvlJc w:val="right"/>
      <w:pPr>
        <w:ind w:left="3945" w:hanging="420"/>
      </w:pPr>
    </w:lvl>
  </w:abstractNum>
  <w:num w:numId="1">
    <w:abstractNumId w:val="4"/>
  </w:num>
  <w:num w:numId="2">
    <w:abstractNumId w:val="2"/>
  </w:num>
  <w:num w:numId="3">
    <w:abstractNumId w:val="1"/>
  </w:num>
  <w:num w:numId="4">
    <w:abstractNumId w:val="5"/>
  </w:num>
  <w:num w:numId="5">
    <w:abstractNumId w:val="13"/>
  </w:num>
  <w:num w:numId="6">
    <w:abstractNumId w:val="0"/>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jNDJmNjc5Y2YwMGNlOTIwNzkyNjAxYmI3NmU0YWIifQ=="/>
    <w:docVar w:name="KSO_WPS_MARK_KEY" w:val="d75cf09c-c57f-46d6-b98b-1a5de63146cd"/>
  </w:docVars>
  <w:rsids>
    <w:rsidRoot w:val="006A1E60"/>
    <w:rsid w:val="00062C5D"/>
    <w:rsid w:val="00095AC0"/>
    <w:rsid w:val="000A378A"/>
    <w:rsid w:val="00105225"/>
    <w:rsid w:val="001B4C59"/>
    <w:rsid w:val="001E3A1C"/>
    <w:rsid w:val="00271796"/>
    <w:rsid w:val="002F31A8"/>
    <w:rsid w:val="004640E4"/>
    <w:rsid w:val="00492942"/>
    <w:rsid w:val="004C5393"/>
    <w:rsid w:val="005202C0"/>
    <w:rsid w:val="00552508"/>
    <w:rsid w:val="005547EB"/>
    <w:rsid w:val="00604361"/>
    <w:rsid w:val="00614C55"/>
    <w:rsid w:val="00616F65"/>
    <w:rsid w:val="006A1E60"/>
    <w:rsid w:val="006C3DB0"/>
    <w:rsid w:val="007937D4"/>
    <w:rsid w:val="008106B5"/>
    <w:rsid w:val="00813BA0"/>
    <w:rsid w:val="008772AF"/>
    <w:rsid w:val="00911BF7"/>
    <w:rsid w:val="009E2C88"/>
    <w:rsid w:val="00AE4B69"/>
    <w:rsid w:val="00AF10A8"/>
    <w:rsid w:val="00B52BF3"/>
    <w:rsid w:val="00BD3579"/>
    <w:rsid w:val="00D3017D"/>
    <w:rsid w:val="00DB5D8D"/>
    <w:rsid w:val="00E47557"/>
    <w:rsid w:val="00F072F8"/>
    <w:rsid w:val="02107F56"/>
    <w:rsid w:val="03DE4C6E"/>
    <w:rsid w:val="05991073"/>
    <w:rsid w:val="0607573C"/>
    <w:rsid w:val="06F2019A"/>
    <w:rsid w:val="0BC97B63"/>
    <w:rsid w:val="0CA02236"/>
    <w:rsid w:val="0CE75980"/>
    <w:rsid w:val="0D8C4C83"/>
    <w:rsid w:val="0D933D59"/>
    <w:rsid w:val="11C75D80"/>
    <w:rsid w:val="13320A68"/>
    <w:rsid w:val="19CC487B"/>
    <w:rsid w:val="1BFE2697"/>
    <w:rsid w:val="206770AC"/>
    <w:rsid w:val="21014804"/>
    <w:rsid w:val="2105124D"/>
    <w:rsid w:val="212A7B2E"/>
    <w:rsid w:val="22E83DA8"/>
    <w:rsid w:val="233D0598"/>
    <w:rsid w:val="24E9739B"/>
    <w:rsid w:val="25011991"/>
    <w:rsid w:val="26D2713A"/>
    <w:rsid w:val="2A81510D"/>
    <w:rsid w:val="2B0674C1"/>
    <w:rsid w:val="2B903ECF"/>
    <w:rsid w:val="2E525350"/>
    <w:rsid w:val="2E6B0814"/>
    <w:rsid w:val="31432867"/>
    <w:rsid w:val="31532430"/>
    <w:rsid w:val="31A94281"/>
    <w:rsid w:val="31B0085C"/>
    <w:rsid w:val="3201712A"/>
    <w:rsid w:val="32AE24BF"/>
    <w:rsid w:val="32EC5C27"/>
    <w:rsid w:val="35F04917"/>
    <w:rsid w:val="3C0A4D9B"/>
    <w:rsid w:val="3C8B257D"/>
    <w:rsid w:val="3DCC7FEC"/>
    <w:rsid w:val="3E64776F"/>
    <w:rsid w:val="3EC81291"/>
    <w:rsid w:val="3F3423F7"/>
    <w:rsid w:val="40A62E81"/>
    <w:rsid w:val="41DA46DF"/>
    <w:rsid w:val="438374B2"/>
    <w:rsid w:val="43A35D9D"/>
    <w:rsid w:val="478738F1"/>
    <w:rsid w:val="49E654BD"/>
    <w:rsid w:val="4B495D6B"/>
    <w:rsid w:val="4D5819A6"/>
    <w:rsid w:val="4D61273D"/>
    <w:rsid w:val="4D86614F"/>
    <w:rsid w:val="4DE03A89"/>
    <w:rsid w:val="4DE053C4"/>
    <w:rsid w:val="4F5B4F99"/>
    <w:rsid w:val="504A5E0B"/>
    <w:rsid w:val="514A6256"/>
    <w:rsid w:val="52915D6D"/>
    <w:rsid w:val="534415EE"/>
    <w:rsid w:val="538C5F06"/>
    <w:rsid w:val="54077FA8"/>
    <w:rsid w:val="57E02CC4"/>
    <w:rsid w:val="58CA6E2F"/>
    <w:rsid w:val="5BEF63B0"/>
    <w:rsid w:val="5D1C4331"/>
    <w:rsid w:val="5F261713"/>
    <w:rsid w:val="5F5D425C"/>
    <w:rsid w:val="60D45425"/>
    <w:rsid w:val="620C2600"/>
    <w:rsid w:val="67C35F6E"/>
    <w:rsid w:val="68FD21DF"/>
    <w:rsid w:val="69603C65"/>
    <w:rsid w:val="6A4F6973"/>
    <w:rsid w:val="6ED9547C"/>
    <w:rsid w:val="71C97B80"/>
    <w:rsid w:val="737A1D43"/>
    <w:rsid w:val="7607224E"/>
    <w:rsid w:val="766C3D08"/>
    <w:rsid w:val="76D12412"/>
    <w:rsid w:val="77091498"/>
    <w:rsid w:val="78230D9F"/>
    <w:rsid w:val="79294073"/>
    <w:rsid w:val="7B2F14DB"/>
    <w:rsid w:val="7BF90D9A"/>
    <w:rsid w:val="7FE1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spacing w:before="260" w:after="260"/>
      <w:outlineLvl w:val="2"/>
    </w:pPr>
    <w:rPr>
      <w:rFonts w:hint="eastAsia" w:ascii="宋体" w:hAnsi="宋体"/>
      <w:szCs w:val="32"/>
    </w:rPr>
  </w:style>
  <w:style w:type="paragraph" w:styleId="5">
    <w:name w:val="heading 4"/>
    <w:basedOn w:val="1"/>
    <w:next w:val="1"/>
    <w:qFormat/>
    <w:uiPriority w:val="0"/>
    <w:pPr>
      <w:keepNext/>
      <w:keepLines/>
      <w:spacing w:before="280" w:after="290" w:line="376" w:lineRule="auto"/>
      <w:outlineLvl w:val="3"/>
    </w:pPr>
    <w:rPr>
      <w:rFonts w:ascii="Cambria" w:hAnsi="Cambria"/>
      <w:b/>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link w:val="24"/>
    <w:qFormat/>
    <w:uiPriority w:val="0"/>
    <w:pPr>
      <w:widowControl/>
      <w:shd w:val="clear" w:color="auto" w:fill="FFFFFF"/>
      <w:tabs>
        <w:tab w:val="left" w:pos="426"/>
      </w:tabs>
      <w:autoSpaceDE w:val="0"/>
      <w:autoSpaceDN w:val="0"/>
      <w:adjustRightInd w:val="0"/>
      <w:snapToGrid w:val="0"/>
      <w:spacing w:line="360" w:lineRule="auto"/>
      <w:jc w:val="left"/>
      <w:textAlignment w:val="baseline"/>
    </w:pPr>
    <w:rPr>
      <w:rFonts w:ascii="宋体"/>
      <w:kern w:val="0"/>
      <w:sz w:val="34"/>
      <w:szCs w:val="20"/>
    </w:rPr>
  </w:style>
  <w:style w:type="paragraph" w:styleId="8">
    <w:name w:val="Body Text"/>
    <w:basedOn w:val="1"/>
    <w:next w:val="1"/>
    <w:link w:val="30"/>
    <w:qFormat/>
    <w:uiPriority w:val="0"/>
    <w:pPr>
      <w:spacing w:after="120"/>
    </w:pPr>
  </w:style>
  <w:style w:type="paragraph" w:styleId="9">
    <w:name w:val="Plain Text"/>
    <w:basedOn w:val="1"/>
    <w:qFormat/>
    <w:uiPriority w:val="99"/>
    <w:rPr>
      <w:rFonts w:ascii="宋体" w:hAnsi="Courier New"/>
      <w:szCs w:val="20"/>
    </w:rPr>
  </w:style>
  <w:style w:type="paragraph" w:styleId="10">
    <w:name w:val="Date"/>
    <w:basedOn w:val="1"/>
    <w:next w:val="1"/>
    <w:qFormat/>
    <w:uiPriority w:val="0"/>
    <w:rPr>
      <w:rFonts w:ascii="宋体" w:hAnsi="Courier New"/>
      <w:sz w:val="32"/>
      <w:szCs w:val="20"/>
    </w:rPr>
  </w:style>
  <w:style w:type="paragraph" w:styleId="11">
    <w:name w:val="Balloon Text"/>
    <w:basedOn w:val="1"/>
    <w:link w:val="28"/>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6"/>
    <w:qFormat/>
    <w:uiPriority w:val="0"/>
    <w:pPr>
      <w:widowControl/>
      <w:shd w:val="clear" w:color="auto" w:fill="FFFFFF"/>
      <w:tabs>
        <w:tab w:val="left" w:pos="426"/>
      </w:tabs>
      <w:adjustRightInd w:val="0"/>
      <w:snapToGrid w:val="0"/>
      <w:spacing w:before="240" w:after="60" w:line="312" w:lineRule="auto"/>
      <w:jc w:val="center"/>
      <w:outlineLvl w:val="1"/>
    </w:pPr>
    <w:rPr>
      <w:rFonts w:ascii="Cambria" w:hAnsi="Cambria"/>
      <w:b/>
      <w:bCs/>
      <w:kern w:val="28"/>
      <w:sz w:val="28"/>
      <w:szCs w:val="32"/>
    </w:rPr>
  </w:style>
  <w:style w:type="paragraph" w:styleId="15">
    <w:name w:val="Normal (Web)"/>
    <w:basedOn w:val="1"/>
    <w:unhideWhenUsed/>
    <w:qFormat/>
    <w:uiPriority w:val="0"/>
    <w:rPr>
      <w:sz w:val="24"/>
    </w:rPr>
  </w:style>
  <w:style w:type="paragraph" w:styleId="16">
    <w:name w:val="annotation subject"/>
    <w:basedOn w:val="7"/>
    <w:next w:val="7"/>
    <w:link w:val="27"/>
    <w:qFormat/>
    <w:uiPriority w:val="0"/>
    <w:pPr>
      <w:widowControl w:val="0"/>
      <w:shd w:val="clear" w:color="auto" w:fill="auto"/>
      <w:autoSpaceDE/>
      <w:autoSpaceDN/>
      <w:adjustRightInd/>
      <w:snapToGrid/>
      <w:spacing w:line="240" w:lineRule="auto"/>
      <w:textAlignment w:val="auto"/>
    </w:pPr>
    <w:rPr>
      <w:rFonts w:ascii="Times New Roman"/>
      <w:b/>
      <w:bCs/>
      <w:kern w:val="2"/>
      <w:sz w:val="21"/>
      <w:szCs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character" w:customStyle="1" w:styleId="21">
    <w:name w:val="标题 2 字符"/>
    <w:basedOn w:val="19"/>
    <w:link w:val="4"/>
    <w:qFormat/>
    <w:uiPriority w:val="0"/>
    <w:rPr>
      <w:rFonts w:ascii="Arial" w:hAnsi="Arial" w:eastAsia="黑体"/>
      <w:b/>
      <w:bCs/>
      <w:kern w:val="2"/>
      <w:sz w:val="32"/>
      <w:szCs w:val="32"/>
    </w:rPr>
  </w:style>
  <w:style w:type="character" w:customStyle="1" w:styleId="22">
    <w:name w:val="标题 1 字符"/>
    <w:basedOn w:val="19"/>
    <w:link w:val="3"/>
    <w:qFormat/>
    <w:uiPriority w:val="0"/>
    <w:rPr>
      <w:b/>
      <w:bCs/>
      <w:kern w:val="44"/>
      <w:sz w:val="44"/>
      <w:szCs w:val="44"/>
    </w:rPr>
  </w:style>
  <w:style w:type="paragraph" w:customStyle="1" w:styleId="23">
    <w:name w:val="列表段落1"/>
    <w:basedOn w:val="1"/>
    <w:qFormat/>
    <w:uiPriority w:val="34"/>
    <w:pPr>
      <w:ind w:firstLine="420" w:firstLineChars="200"/>
    </w:pPr>
  </w:style>
  <w:style w:type="character" w:customStyle="1" w:styleId="24">
    <w:name w:val="批注文字 字符"/>
    <w:basedOn w:val="19"/>
    <w:link w:val="7"/>
    <w:qFormat/>
    <w:uiPriority w:val="0"/>
    <w:rPr>
      <w:rFonts w:ascii="宋体" w:hAnsi="Times New Roman"/>
      <w:sz w:val="34"/>
      <w:shd w:val="clear" w:color="auto" w:fill="FFFFFF"/>
    </w:rPr>
  </w:style>
  <w:style w:type="character" w:customStyle="1" w:styleId="25">
    <w:name w:val="副标题 Char"/>
    <w:basedOn w:val="19"/>
    <w:qFormat/>
    <w:uiPriority w:val="0"/>
    <w:rPr>
      <w:rFonts w:asciiTheme="majorHAnsi" w:hAnsiTheme="majorHAnsi" w:cstheme="majorBidi"/>
      <w:b/>
      <w:bCs/>
      <w:kern w:val="28"/>
      <w:sz w:val="32"/>
      <w:szCs w:val="32"/>
    </w:rPr>
  </w:style>
  <w:style w:type="character" w:customStyle="1" w:styleId="26">
    <w:name w:val="副标题 字符"/>
    <w:link w:val="14"/>
    <w:qFormat/>
    <w:uiPriority w:val="0"/>
    <w:rPr>
      <w:rFonts w:ascii="Cambria" w:hAnsi="Cambria"/>
      <w:b/>
      <w:bCs/>
      <w:kern w:val="28"/>
      <w:sz w:val="28"/>
      <w:szCs w:val="32"/>
      <w:shd w:val="clear" w:color="auto" w:fill="FFFFFF"/>
    </w:rPr>
  </w:style>
  <w:style w:type="character" w:customStyle="1" w:styleId="27">
    <w:name w:val="批注主题 字符"/>
    <w:basedOn w:val="24"/>
    <w:link w:val="16"/>
    <w:qFormat/>
    <w:uiPriority w:val="0"/>
    <w:rPr>
      <w:rFonts w:ascii="Times New Roman" w:hAnsi="Times New Roman"/>
      <w:b/>
      <w:bCs/>
      <w:kern w:val="2"/>
      <w:sz w:val="21"/>
      <w:szCs w:val="24"/>
      <w:shd w:val="clear" w:color="auto" w:fill="FFFFFF"/>
    </w:rPr>
  </w:style>
  <w:style w:type="character" w:customStyle="1" w:styleId="28">
    <w:name w:val="批注框文本 字符"/>
    <w:basedOn w:val="19"/>
    <w:link w:val="11"/>
    <w:qFormat/>
    <w:uiPriority w:val="0"/>
    <w:rPr>
      <w:rFonts w:ascii="Times New Roman" w:hAnsi="Times New Roman"/>
      <w:kern w:val="2"/>
      <w:sz w:val="18"/>
      <w:szCs w:val="18"/>
    </w:rPr>
  </w:style>
  <w:style w:type="character" w:customStyle="1" w:styleId="29">
    <w:name w:val="页眉 字符"/>
    <w:basedOn w:val="19"/>
    <w:link w:val="13"/>
    <w:qFormat/>
    <w:uiPriority w:val="0"/>
    <w:rPr>
      <w:rFonts w:ascii="Times New Roman" w:hAnsi="Times New Roman"/>
      <w:kern w:val="2"/>
      <w:sz w:val="18"/>
      <w:szCs w:val="18"/>
    </w:rPr>
  </w:style>
  <w:style w:type="character" w:customStyle="1" w:styleId="30">
    <w:name w:val="正文文本 字符"/>
    <w:basedOn w:val="19"/>
    <w:link w:val="8"/>
    <w:qFormat/>
    <w:uiPriority w:val="0"/>
    <w:rPr>
      <w:kern w:val="2"/>
      <w:sz w:val="21"/>
      <w:szCs w:val="24"/>
    </w:rPr>
  </w:style>
  <w:style w:type="character" w:customStyle="1" w:styleId="31">
    <w:name w:val="正文文本 Char1"/>
    <w:basedOn w:val="19"/>
    <w:qFormat/>
    <w:uiPriority w:val="0"/>
    <w:rPr>
      <w:rFonts w:hint="eastAsia" w:ascii="宋体" w:hAnsi="宋体" w:eastAsia="宋体" w:cs="宋体"/>
      <w:kern w:val="2"/>
      <w:sz w:val="21"/>
      <w:szCs w:val="24"/>
      <w:lang w:val="en-US" w:eastAsia="zh-CN" w:bidi="ar"/>
    </w:rPr>
  </w:style>
  <w:style w:type="paragraph" w:customStyle="1" w:styleId="3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3">
    <w:name w:val="font41"/>
    <w:qFormat/>
    <w:uiPriority w:val="0"/>
    <w:rPr>
      <w:rFonts w:ascii="Arial" w:hAnsi="Arial" w:cs="Arial"/>
      <w:color w:val="FF0000"/>
      <w:sz w:val="20"/>
      <w:szCs w:val="20"/>
      <w:u w:val="none"/>
      <w:lang w:bidi="ar-SA"/>
    </w:rPr>
  </w:style>
  <w:style w:type="character" w:customStyle="1" w:styleId="34">
    <w:name w:val="标准文本 Char"/>
    <w:link w:val="35"/>
    <w:qFormat/>
    <w:uiPriority w:val="0"/>
    <w:rPr>
      <w:kern w:val="0"/>
      <w:sz w:val="24"/>
      <w:szCs w:val="20"/>
    </w:rPr>
  </w:style>
  <w:style w:type="paragraph" w:customStyle="1" w:styleId="35">
    <w:name w:val="标准文本"/>
    <w:basedOn w:val="1"/>
    <w:link w:val="34"/>
    <w:qFormat/>
    <w:uiPriority w:val="0"/>
    <w:pPr>
      <w:spacing w:line="360" w:lineRule="auto"/>
      <w:ind w:firstLine="480" w:firstLineChars="200"/>
    </w:pPr>
    <w:rPr>
      <w:kern w:val="0"/>
      <w:sz w:val="24"/>
      <w:szCs w:val="20"/>
    </w:rPr>
  </w:style>
  <w:style w:type="paragraph" w:customStyle="1" w:styleId="36">
    <w:name w:val=".正文"/>
    <w:basedOn w:val="1"/>
    <w:qFormat/>
    <w:uiPriority w:val="0"/>
    <w:pPr>
      <w:spacing w:beforeLines="50"/>
      <w:ind w:firstLine="200" w:firstLineChars="200"/>
    </w:pPr>
    <w:rPr>
      <w:rFonts w:eastAsia="华文仿宋"/>
      <w:szCs w:val="22"/>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19</Pages>
  <Words>11600</Words>
  <Characters>11926</Characters>
  <Lines>10</Lines>
  <Paragraphs>17</Paragraphs>
  <TotalTime>5</TotalTime>
  <ScaleCrop>false</ScaleCrop>
  <LinksUpToDate>false</LinksUpToDate>
  <CharactersWithSpaces>12338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2024-03-08T06:10:00Z</dcterms:created>
  <dc:creator>123</dc:creator>
  <cp:lastModifiedBy>林兰</cp:lastModifiedBy>
  <dcterms:modified xsi:type="dcterms:W3CDTF">2024-03-18T01:23:03Z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54EA7ACC412049239C71320057A776BC</vt:lpwstr>
  </property>
</Properties>
</file>