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_GB2312" w:hAnsi="仿宋_GB2312" w:eastAsia="仿宋_GB2312" w:cs="仿宋_GB2312"/>
          <w:sz w:val="16"/>
          <w:szCs w:val="16"/>
        </w:rPr>
      </w:pPr>
      <w:r>
        <w:rPr>
          <w:rFonts w:hint="eastAsia" w:ascii="宋体" w:hAnsi="宋体" w:cs="宋体"/>
          <w:b/>
          <w:bCs/>
          <w:kern w:val="0"/>
          <w:sz w:val="44"/>
          <w:szCs w:val="44"/>
        </w:rPr>
        <w:t xml:space="preserve"> </w:t>
      </w:r>
    </w:p>
    <w:p>
      <w:pPr>
        <w:spacing w:line="360" w:lineRule="auto"/>
        <w:jc w:val="center"/>
        <w:rPr>
          <w:b/>
          <w:bCs/>
          <w:snapToGrid w:val="0"/>
          <w:color w:val="000000"/>
          <w:kern w:val="0"/>
          <w:sz w:val="52"/>
          <w:szCs w:val="52"/>
        </w:rPr>
      </w:pPr>
      <w:r>
        <w:rPr>
          <w:rFonts w:hint="eastAsia" w:ascii="Times New Roman" w:hAnsi="Times New Roman" w:cs="Times New Roman"/>
          <w:b/>
          <w:bCs/>
          <w:snapToGrid w:val="0"/>
          <w:color w:val="000000"/>
          <w:kern w:val="0"/>
          <w:sz w:val="52"/>
          <w:szCs w:val="52"/>
          <w:lang w:val="en-US" w:eastAsia="zh-CN"/>
        </w:rPr>
        <w:t>电梯维保项</w:t>
      </w:r>
      <w:r>
        <w:rPr>
          <w:rFonts w:hint="eastAsia"/>
          <w:b/>
          <w:bCs/>
          <w:snapToGrid w:val="0"/>
          <w:color w:val="000000"/>
          <w:kern w:val="0"/>
          <w:sz w:val="52"/>
          <w:szCs w:val="52"/>
        </w:rPr>
        <w:t>目</w:t>
      </w:r>
    </w:p>
    <w:p>
      <w:pPr>
        <w:adjustRightInd w:val="0"/>
        <w:snapToGrid w:val="0"/>
        <w:spacing w:line="300" w:lineRule="auto"/>
        <w:rPr>
          <w:snapToGrid w:val="0"/>
          <w:color w:val="000000"/>
          <w:kern w:val="0"/>
          <w:sz w:val="44"/>
        </w:rPr>
      </w:pPr>
    </w:p>
    <w:p>
      <w:pPr>
        <w:adjustRightInd w:val="0"/>
        <w:snapToGrid w:val="0"/>
        <w:spacing w:line="300" w:lineRule="auto"/>
        <w:rPr>
          <w:snapToGrid w:val="0"/>
          <w:color w:val="000000"/>
          <w:kern w:val="0"/>
          <w:sz w:val="44"/>
        </w:rPr>
      </w:pPr>
    </w:p>
    <w:p>
      <w:pPr>
        <w:pStyle w:val="9"/>
        <w:rPr>
          <w:snapToGrid w:val="0"/>
          <w:color w:val="000000"/>
          <w:kern w:val="0"/>
          <w:sz w:val="44"/>
        </w:rPr>
      </w:pPr>
    </w:p>
    <w:p>
      <w:pPr>
        <w:pStyle w:val="9"/>
        <w:rPr>
          <w:snapToGrid w:val="0"/>
          <w:color w:val="000000"/>
          <w:kern w:val="0"/>
          <w:sz w:val="44"/>
        </w:rPr>
      </w:pPr>
    </w:p>
    <w:p>
      <w:pPr>
        <w:adjustRightInd w:val="0"/>
        <w:snapToGrid w:val="0"/>
        <w:spacing w:line="300" w:lineRule="auto"/>
        <w:jc w:val="center"/>
      </w:pPr>
      <w:r>
        <w:rPr>
          <w:rFonts w:hint="eastAsia" w:ascii="宋体" w:hAnsi="宋体" w:cs="宋体"/>
          <w:b/>
          <w:snapToGrid w:val="0"/>
          <w:color w:val="000000"/>
          <w:kern w:val="0"/>
          <w:sz w:val="90"/>
        </w:rPr>
        <w:t>招标文件</w:t>
      </w:r>
    </w:p>
    <w:p>
      <w:pPr>
        <w:adjustRightInd w:val="0"/>
        <w:snapToGrid w:val="0"/>
        <w:spacing w:line="300" w:lineRule="auto"/>
        <w:jc w:val="center"/>
        <w:rPr>
          <w:rFonts w:hint="default" w:eastAsia="经典等线简"/>
          <w:b/>
          <w:snapToGrid w:val="0"/>
          <w:color w:val="000000"/>
          <w:kern w:val="0"/>
          <w:sz w:val="28"/>
          <w:szCs w:val="28"/>
          <w:lang w:val="en-US" w:eastAsia="zh-CN"/>
        </w:rPr>
      </w:pPr>
      <w:r>
        <w:rPr>
          <w:rFonts w:hint="eastAsia" w:eastAsia="经典等线简"/>
          <w:b/>
          <w:snapToGrid w:val="0"/>
          <w:color w:val="000000"/>
          <w:kern w:val="0"/>
          <w:sz w:val="28"/>
          <w:szCs w:val="28"/>
        </w:rPr>
        <w:t>招标编号：</w:t>
      </w:r>
      <w:r>
        <w:rPr>
          <w:rFonts w:hint="eastAsia" w:eastAsia="经典等线简"/>
          <w:b/>
          <w:snapToGrid w:val="0"/>
          <w:color w:val="000000"/>
          <w:kern w:val="0"/>
          <w:sz w:val="28"/>
          <w:szCs w:val="28"/>
          <w:highlight w:val="none"/>
          <w:lang w:val="en-US" w:eastAsia="zh-CN"/>
        </w:rPr>
        <w:t>SZPS2024006</w:t>
      </w:r>
    </w:p>
    <w:p>
      <w:pPr>
        <w:adjustRightInd w:val="0"/>
        <w:snapToGrid w:val="0"/>
        <w:spacing w:line="300" w:lineRule="auto"/>
        <w:rPr>
          <w:snapToGrid w:val="0"/>
          <w:color w:val="000000"/>
          <w:kern w:val="0"/>
          <w:sz w:val="44"/>
        </w:rPr>
      </w:pPr>
    </w:p>
    <w:p>
      <w:pPr>
        <w:adjustRightInd w:val="0"/>
        <w:snapToGrid w:val="0"/>
        <w:spacing w:line="300" w:lineRule="auto"/>
        <w:rPr>
          <w:snapToGrid w:val="0"/>
          <w:color w:val="000000"/>
          <w:kern w:val="0"/>
          <w:sz w:val="18"/>
        </w:rPr>
      </w:pPr>
      <w:r>
        <w:rPr>
          <w:snapToGrid w:val="0"/>
          <w:color w:val="000000"/>
          <w:kern w:val="0"/>
          <w:sz w:val="44"/>
        </w:rPr>
        <w:t xml:space="preserve">           </w:t>
      </w:r>
      <w:r>
        <w:rPr>
          <w:rFonts w:hint="eastAsia"/>
          <w:snapToGrid w:val="0"/>
          <w:color w:val="000000"/>
          <w:kern w:val="0"/>
          <w:sz w:val="44"/>
        </w:rPr>
        <w:t xml:space="preserve"> </w:t>
      </w:r>
    </w:p>
    <w:p>
      <w:pPr>
        <w:pStyle w:val="11"/>
        <w:adjustRightInd w:val="0"/>
        <w:snapToGrid w:val="0"/>
        <w:spacing w:line="300" w:lineRule="auto"/>
        <w:jc w:val="center"/>
        <w:rPr>
          <w:rFonts w:ascii="Times New Roman" w:hAnsi="Times New Roman"/>
          <w:b/>
          <w:snapToGrid w:val="0"/>
          <w:kern w:val="0"/>
          <w:sz w:val="30"/>
        </w:rPr>
      </w:pPr>
    </w:p>
    <w:p>
      <w:pPr>
        <w:pStyle w:val="11"/>
        <w:adjustRightInd w:val="0"/>
        <w:snapToGrid w:val="0"/>
        <w:spacing w:line="300" w:lineRule="auto"/>
        <w:jc w:val="center"/>
        <w:rPr>
          <w:rFonts w:ascii="Times New Roman" w:hAnsi="Times New Roman"/>
          <w:b/>
          <w:snapToGrid w:val="0"/>
          <w:kern w:val="0"/>
          <w:sz w:val="30"/>
        </w:rPr>
      </w:pPr>
    </w:p>
    <w:p>
      <w:pPr>
        <w:pStyle w:val="11"/>
        <w:adjustRightInd w:val="0"/>
        <w:snapToGrid w:val="0"/>
        <w:spacing w:line="300" w:lineRule="auto"/>
        <w:jc w:val="center"/>
        <w:rPr>
          <w:rFonts w:ascii="Times New Roman" w:hAnsi="Times New Roman"/>
          <w:b/>
          <w:snapToGrid w:val="0"/>
          <w:kern w:val="0"/>
          <w:sz w:val="30"/>
        </w:rPr>
      </w:pPr>
    </w:p>
    <w:p>
      <w:pPr>
        <w:pStyle w:val="11"/>
        <w:adjustRightInd w:val="0"/>
        <w:snapToGrid w:val="0"/>
        <w:spacing w:line="300" w:lineRule="auto"/>
        <w:jc w:val="center"/>
        <w:rPr>
          <w:rFonts w:ascii="Times New Roman" w:hAnsi="Times New Roman"/>
          <w:b/>
          <w:snapToGrid w:val="0"/>
          <w:kern w:val="0"/>
          <w:sz w:val="30"/>
        </w:rPr>
      </w:pPr>
    </w:p>
    <w:p>
      <w:pPr>
        <w:pStyle w:val="11"/>
        <w:adjustRightInd w:val="0"/>
        <w:snapToGrid w:val="0"/>
        <w:spacing w:line="300" w:lineRule="auto"/>
        <w:jc w:val="center"/>
        <w:rPr>
          <w:rFonts w:ascii="Times New Roman" w:hAnsi="Times New Roman"/>
          <w:b/>
          <w:snapToGrid w:val="0"/>
          <w:kern w:val="0"/>
          <w:sz w:val="30"/>
        </w:rPr>
      </w:pPr>
    </w:p>
    <w:p>
      <w:pPr>
        <w:pStyle w:val="11"/>
        <w:adjustRightInd w:val="0"/>
        <w:snapToGrid w:val="0"/>
        <w:spacing w:line="300" w:lineRule="auto"/>
        <w:jc w:val="center"/>
        <w:rPr>
          <w:rFonts w:ascii="Times New Roman" w:hAnsi="Times New Roman"/>
          <w:b/>
          <w:snapToGrid w:val="0"/>
          <w:kern w:val="0"/>
          <w:sz w:val="30"/>
        </w:rPr>
      </w:pPr>
    </w:p>
    <w:p>
      <w:pPr>
        <w:pStyle w:val="11"/>
        <w:adjustRightInd w:val="0"/>
        <w:snapToGrid w:val="0"/>
        <w:spacing w:line="300" w:lineRule="auto"/>
        <w:jc w:val="center"/>
        <w:rPr>
          <w:rFonts w:ascii="Times New Roman" w:hAnsi="Times New Roman"/>
          <w:b/>
          <w:snapToGrid w:val="0"/>
          <w:kern w:val="0"/>
          <w:sz w:val="30"/>
        </w:rPr>
      </w:pPr>
    </w:p>
    <w:p>
      <w:pPr>
        <w:pStyle w:val="11"/>
        <w:adjustRightInd w:val="0"/>
        <w:snapToGrid w:val="0"/>
        <w:spacing w:line="300" w:lineRule="auto"/>
        <w:jc w:val="center"/>
        <w:rPr>
          <w:rFonts w:ascii="Times New Roman" w:hAnsi="Times New Roman"/>
          <w:b/>
          <w:snapToGrid w:val="0"/>
          <w:kern w:val="0"/>
          <w:sz w:val="30"/>
        </w:rPr>
      </w:pPr>
    </w:p>
    <w:p>
      <w:pPr>
        <w:pStyle w:val="11"/>
        <w:adjustRightInd w:val="0"/>
        <w:snapToGrid w:val="0"/>
        <w:spacing w:line="300" w:lineRule="auto"/>
        <w:jc w:val="center"/>
        <w:rPr>
          <w:rFonts w:ascii="Times New Roman" w:hAnsi="Times New Roman"/>
          <w:b/>
          <w:snapToGrid w:val="0"/>
          <w:kern w:val="0"/>
          <w:sz w:val="30"/>
        </w:rPr>
      </w:pPr>
    </w:p>
    <w:p>
      <w:pPr>
        <w:pStyle w:val="11"/>
        <w:adjustRightInd w:val="0"/>
        <w:snapToGrid w:val="0"/>
        <w:spacing w:line="300" w:lineRule="auto"/>
        <w:jc w:val="center"/>
        <w:rPr>
          <w:rFonts w:ascii="Times New Roman" w:hAnsi="Times New Roman"/>
          <w:b/>
          <w:snapToGrid w:val="0"/>
          <w:kern w:val="0"/>
          <w:sz w:val="30"/>
        </w:rPr>
      </w:pPr>
    </w:p>
    <w:p>
      <w:pPr>
        <w:pStyle w:val="11"/>
        <w:adjustRightInd w:val="0"/>
        <w:snapToGrid w:val="0"/>
        <w:spacing w:line="300" w:lineRule="auto"/>
        <w:jc w:val="center"/>
        <w:rPr>
          <w:rFonts w:ascii="Times New Roman" w:hAnsi="Times New Roman"/>
          <w:b/>
          <w:snapToGrid w:val="0"/>
          <w:kern w:val="0"/>
          <w:sz w:val="30"/>
        </w:rPr>
      </w:pPr>
    </w:p>
    <w:p>
      <w:pPr>
        <w:pStyle w:val="11"/>
        <w:adjustRightInd w:val="0"/>
        <w:snapToGrid w:val="0"/>
        <w:spacing w:line="300" w:lineRule="auto"/>
        <w:jc w:val="center"/>
        <w:rPr>
          <w:rFonts w:hint="eastAsia" w:ascii="Times New Roman" w:hAnsi="Times New Roman"/>
          <w:b/>
          <w:snapToGrid w:val="0"/>
          <w:kern w:val="0"/>
          <w:sz w:val="30"/>
        </w:rPr>
      </w:pPr>
      <w:r>
        <w:rPr>
          <w:rFonts w:hint="eastAsia" w:ascii="Times New Roman" w:hAnsi="Times New Roman"/>
          <w:b/>
          <w:snapToGrid w:val="0"/>
          <w:kern w:val="0"/>
          <w:sz w:val="30"/>
        </w:rPr>
        <w:t>深圳</w:t>
      </w:r>
      <w:r>
        <w:rPr>
          <w:rFonts w:hint="eastAsia" w:ascii="Times New Roman" w:hAnsi="Times New Roman"/>
          <w:b/>
          <w:snapToGrid w:val="0"/>
          <w:kern w:val="0"/>
          <w:sz w:val="30"/>
          <w:lang w:val="en-US" w:eastAsia="zh-CN"/>
        </w:rPr>
        <w:t>中学坪山创新</w:t>
      </w:r>
      <w:r>
        <w:rPr>
          <w:rFonts w:hint="eastAsia" w:ascii="Times New Roman" w:hAnsi="Times New Roman"/>
          <w:b/>
          <w:snapToGrid w:val="0"/>
          <w:kern w:val="0"/>
          <w:sz w:val="30"/>
        </w:rPr>
        <w:t>学校</w:t>
      </w:r>
    </w:p>
    <w:p>
      <w:pPr>
        <w:jc w:val="center"/>
        <w:rPr>
          <w:rFonts w:hint="default" w:eastAsia="宋体"/>
          <w:lang w:val="en-US" w:eastAsia="zh-CN"/>
        </w:rPr>
      </w:pPr>
      <w:r>
        <w:rPr>
          <w:rFonts w:hint="eastAsia"/>
          <w:b/>
          <w:snapToGrid w:val="0"/>
          <w:kern w:val="0"/>
          <w:sz w:val="30"/>
          <w:lang w:val="en-US" w:eastAsia="zh-CN"/>
        </w:rPr>
        <w:t>深圳中学数理高中</w:t>
      </w:r>
    </w:p>
    <w:p>
      <w:pPr>
        <w:pStyle w:val="11"/>
        <w:adjustRightInd w:val="0"/>
        <w:snapToGrid w:val="0"/>
        <w:spacing w:line="300" w:lineRule="auto"/>
        <w:jc w:val="center"/>
        <w:rPr>
          <w:rFonts w:ascii="Times New Roman" w:hAnsi="Times New Roman" w:eastAsia="经典等线简"/>
          <w:b/>
          <w:snapToGrid w:val="0"/>
          <w:kern w:val="0"/>
          <w:sz w:val="30"/>
        </w:rPr>
      </w:pPr>
      <w:r>
        <w:rPr>
          <w:rFonts w:ascii="Times New Roman" w:hAnsi="Times New Roman"/>
          <w:b/>
          <w:snapToGrid w:val="0"/>
          <w:kern w:val="0"/>
          <w:sz w:val="30"/>
        </w:rPr>
        <w:t>二</w:t>
      </w:r>
      <w:r>
        <w:rPr>
          <w:rFonts w:hint="eastAsia" w:ascii="Times New Roman" w:hAnsi="Times New Roman"/>
          <w:b/>
          <w:snapToGrid w:val="0"/>
          <w:kern w:val="0"/>
          <w:sz w:val="30"/>
        </w:rPr>
        <w:t>○</w:t>
      </w:r>
      <w:r>
        <w:rPr>
          <w:rFonts w:ascii="Times New Roman" w:hAnsi="Times New Roman"/>
          <w:b/>
          <w:snapToGrid w:val="0"/>
          <w:kern w:val="0"/>
          <w:sz w:val="30"/>
        </w:rPr>
        <w:t>二</w:t>
      </w:r>
      <w:r>
        <w:rPr>
          <w:rFonts w:hint="eastAsia" w:ascii="Times New Roman" w:hAnsi="Times New Roman"/>
          <w:b/>
          <w:snapToGrid w:val="0"/>
          <w:kern w:val="0"/>
          <w:sz w:val="30"/>
          <w:lang w:val="en-US" w:eastAsia="zh-CN"/>
        </w:rPr>
        <w:t>四</w:t>
      </w:r>
      <w:r>
        <w:rPr>
          <w:rFonts w:ascii="Times New Roman" w:hAnsi="Times New Roman" w:eastAsia="经典等线简"/>
          <w:b/>
          <w:snapToGrid w:val="0"/>
          <w:kern w:val="0"/>
          <w:sz w:val="30"/>
        </w:rPr>
        <w:t>年</w:t>
      </w:r>
      <w:r>
        <w:rPr>
          <w:rFonts w:hint="eastAsia" w:eastAsia="经典等线简"/>
          <w:b/>
          <w:snapToGrid w:val="0"/>
          <w:color w:val="000000"/>
          <w:kern w:val="0"/>
          <w:sz w:val="28"/>
          <w:szCs w:val="28"/>
          <w:highlight w:val="none"/>
          <w:lang w:val="en-US" w:eastAsia="zh-CN"/>
        </w:rPr>
        <w:t>三</w:t>
      </w:r>
      <w:r>
        <w:rPr>
          <w:rFonts w:ascii="Times New Roman" w:hAnsi="Times New Roman" w:eastAsia="经典等线简"/>
          <w:b/>
          <w:snapToGrid w:val="0"/>
          <w:kern w:val="0"/>
          <w:sz w:val="30"/>
        </w:rPr>
        <w:t>月</w:t>
      </w:r>
    </w:p>
    <w:p>
      <w:pPr>
        <w:rPr>
          <w:rFonts w:ascii="Times New Roman" w:hAnsi="Times New Roman" w:eastAsia="经典等线简"/>
          <w:b/>
          <w:snapToGrid w:val="0"/>
          <w:kern w:val="0"/>
          <w:sz w:val="30"/>
        </w:rPr>
      </w:pPr>
    </w:p>
    <w:p>
      <w:pPr>
        <w:pStyle w:val="9"/>
      </w:pPr>
    </w:p>
    <w:p>
      <w:pPr>
        <w:pStyle w:val="10"/>
        <w:numPr>
          <w:ilvl w:val="0"/>
          <w:numId w:val="1"/>
        </w:numPr>
        <w:ind w:left="1363"/>
        <w:rPr>
          <w:rFonts w:ascii="黑体" w:hAnsi="黑体" w:eastAsia="黑体" w:cs="黑体"/>
          <w:b/>
          <w:bCs/>
          <w:color w:val="000000"/>
          <w:sz w:val="44"/>
          <w:szCs w:val="44"/>
        </w:rPr>
      </w:pPr>
      <w:r>
        <w:rPr>
          <w:rFonts w:hint="eastAsia" w:ascii="黑体" w:hAnsi="黑体" w:eastAsia="黑体" w:cs="黑体"/>
          <w:b/>
          <w:bCs/>
          <w:color w:val="000000"/>
          <w:sz w:val="44"/>
          <w:szCs w:val="44"/>
        </w:rPr>
        <w:t>投标人须知前附表</w:t>
      </w:r>
    </w:p>
    <w:tbl>
      <w:tblPr>
        <w:tblStyle w:val="19"/>
        <w:tblW w:w="920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155"/>
        <w:gridCol w:w="2010"/>
        <w:gridCol w:w="507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7" w:type="dxa"/>
            <w:tcBorders>
              <w:top w:val="double" w:color="auto" w:sz="4" w:space="0"/>
            </w:tcBorders>
            <w:vAlign w:val="center"/>
          </w:tcPr>
          <w:p>
            <w:pPr>
              <w:pStyle w:val="1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155" w:type="dxa"/>
            <w:tcBorders>
              <w:top w:val="double" w:color="auto" w:sz="4" w:space="0"/>
            </w:tcBorders>
            <w:vAlign w:val="center"/>
          </w:tcPr>
          <w:p>
            <w:pPr>
              <w:pStyle w:val="10"/>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2010" w:type="dxa"/>
            <w:tcBorders>
              <w:top w:val="double" w:color="auto" w:sz="4" w:space="0"/>
            </w:tcBorders>
            <w:vAlign w:val="center"/>
          </w:tcPr>
          <w:p>
            <w:pPr>
              <w:pStyle w:val="10"/>
              <w:jc w:val="center"/>
              <w:rPr>
                <w:rFonts w:hint="eastAsia" w:ascii="宋体" w:hAnsi="宋体" w:eastAsia="宋体" w:cs="宋体"/>
                <w:b/>
                <w:sz w:val="21"/>
                <w:szCs w:val="21"/>
              </w:rPr>
            </w:pPr>
            <w:r>
              <w:rPr>
                <w:rFonts w:hint="eastAsia" w:ascii="宋体" w:hAnsi="宋体" w:eastAsia="宋体" w:cs="宋体"/>
                <w:b/>
                <w:sz w:val="21"/>
                <w:szCs w:val="21"/>
              </w:rPr>
              <w:t>内容</w:t>
            </w:r>
          </w:p>
        </w:tc>
        <w:tc>
          <w:tcPr>
            <w:tcW w:w="5078" w:type="dxa"/>
            <w:tcBorders>
              <w:top w:val="double" w:color="auto" w:sz="4" w:space="0"/>
            </w:tcBorders>
            <w:vAlign w:val="center"/>
          </w:tcPr>
          <w:p>
            <w:pPr>
              <w:pStyle w:val="10"/>
              <w:jc w:val="center"/>
              <w:rPr>
                <w:rFonts w:hint="eastAsia" w:ascii="宋体" w:hAnsi="宋体" w:eastAsia="宋体" w:cs="宋体"/>
                <w:b/>
                <w:sz w:val="21"/>
                <w:szCs w:val="21"/>
              </w:rPr>
            </w:pPr>
            <w:r>
              <w:rPr>
                <w:rFonts w:hint="eastAsia" w:ascii="宋体" w:hAnsi="宋体" w:eastAsia="宋体" w:cs="宋体"/>
                <w:b/>
                <w:sz w:val="21"/>
                <w:szCs w:val="21"/>
              </w:rPr>
              <w:t>内容规定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57"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1</w:t>
            </w:r>
          </w:p>
        </w:tc>
        <w:tc>
          <w:tcPr>
            <w:tcW w:w="1155" w:type="dxa"/>
            <w:vAlign w:val="center"/>
          </w:tcPr>
          <w:p>
            <w:pPr>
              <w:pStyle w:val="10"/>
              <w:jc w:val="center"/>
              <w:rPr>
                <w:rFonts w:hint="eastAsia" w:ascii="宋体" w:hAnsi="宋体" w:eastAsia="宋体" w:cs="宋体"/>
                <w:sz w:val="21"/>
                <w:szCs w:val="21"/>
              </w:rPr>
            </w:pPr>
            <w:r>
              <w:rPr>
                <w:rFonts w:hint="eastAsia" w:hAnsi="宋体" w:cs="宋体"/>
                <w:sz w:val="21"/>
                <w:szCs w:val="21"/>
                <w:lang w:val="en-US" w:eastAsia="zh-CN"/>
              </w:rPr>
              <w:t>1</w:t>
            </w:r>
            <w:r>
              <w:rPr>
                <w:rFonts w:hint="eastAsia" w:ascii="宋体" w:hAnsi="宋体" w:eastAsia="宋体" w:cs="宋体"/>
                <w:sz w:val="21"/>
                <w:szCs w:val="21"/>
              </w:rPr>
              <w:t>.1</w:t>
            </w:r>
          </w:p>
        </w:tc>
        <w:tc>
          <w:tcPr>
            <w:tcW w:w="2010"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5078" w:type="dxa"/>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电梯维保项目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57" w:type="dxa"/>
            <w:vAlign w:val="center"/>
          </w:tcPr>
          <w:p>
            <w:pPr>
              <w:pStyle w:val="1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155" w:type="dxa"/>
            <w:vAlign w:val="center"/>
          </w:tcPr>
          <w:p>
            <w:pPr>
              <w:pStyle w:val="1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w:t>
            </w:r>
          </w:p>
        </w:tc>
        <w:tc>
          <w:tcPr>
            <w:tcW w:w="2010"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项目编号</w:t>
            </w:r>
          </w:p>
        </w:tc>
        <w:tc>
          <w:tcPr>
            <w:tcW w:w="5078" w:type="dxa"/>
            <w:vAlign w:val="center"/>
          </w:tcPr>
          <w:p>
            <w:pPr>
              <w:pStyle w:val="1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SZPS2024006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7"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3</w:t>
            </w:r>
          </w:p>
        </w:tc>
        <w:tc>
          <w:tcPr>
            <w:tcW w:w="1155"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3.1</w:t>
            </w:r>
          </w:p>
        </w:tc>
        <w:tc>
          <w:tcPr>
            <w:tcW w:w="2010"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招标单位</w:t>
            </w:r>
          </w:p>
        </w:tc>
        <w:tc>
          <w:tcPr>
            <w:tcW w:w="5078" w:type="dxa"/>
            <w:vAlign w:val="center"/>
          </w:tcPr>
          <w:p>
            <w:pPr>
              <w:pStyle w:val="10"/>
              <w:rPr>
                <w:rFonts w:hint="default" w:ascii="宋体" w:hAnsi="宋体" w:eastAsia="宋体" w:cs="宋体"/>
                <w:sz w:val="21"/>
                <w:szCs w:val="21"/>
                <w:lang w:val="en-US" w:eastAsia="zh-CN"/>
              </w:rPr>
            </w:pPr>
            <w:r>
              <w:rPr>
                <w:rFonts w:hint="eastAsia" w:hAnsi="宋体" w:cs="宋体"/>
                <w:sz w:val="21"/>
                <w:szCs w:val="21"/>
                <w:lang w:val="en-US" w:eastAsia="zh-CN"/>
              </w:rPr>
              <w:t>深圳中学坪山创新学校、深圳中学数理高中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57"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4</w:t>
            </w:r>
          </w:p>
        </w:tc>
        <w:tc>
          <w:tcPr>
            <w:tcW w:w="1155"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4.1</w:t>
            </w:r>
          </w:p>
        </w:tc>
        <w:tc>
          <w:tcPr>
            <w:tcW w:w="2010"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资金来源</w:t>
            </w:r>
          </w:p>
        </w:tc>
        <w:tc>
          <w:tcPr>
            <w:tcW w:w="5078" w:type="dxa"/>
            <w:vAlign w:val="center"/>
          </w:tcPr>
          <w:p>
            <w:pPr>
              <w:spacing w:line="360" w:lineRule="auto"/>
              <w:rPr>
                <w:rFonts w:hint="default" w:ascii="宋体" w:hAnsi="宋体" w:cs="宋体"/>
                <w:sz w:val="21"/>
                <w:szCs w:val="21"/>
                <w:lang w:val="en-US" w:eastAsia="zh-CN"/>
              </w:rPr>
            </w:pPr>
            <w:r>
              <w:rPr>
                <w:rFonts w:hint="eastAsia" w:ascii="宋体" w:hAnsi="宋体" w:eastAsia="宋体" w:cs="宋体"/>
                <w:sz w:val="21"/>
                <w:szCs w:val="21"/>
              </w:rPr>
              <w:t>财政性资金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57"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5</w:t>
            </w:r>
          </w:p>
        </w:tc>
        <w:tc>
          <w:tcPr>
            <w:tcW w:w="1155"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5.1</w:t>
            </w:r>
          </w:p>
        </w:tc>
        <w:tc>
          <w:tcPr>
            <w:tcW w:w="2010"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项目控制预算价</w:t>
            </w:r>
          </w:p>
        </w:tc>
        <w:tc>
          <w:tcPr>
            <w:tcW w:w="5078" w:type="dxa"/>
            <w:vAlign w:val="center"/>
          </w:tcPr>
          <w:p>
            <w:pPr>
              <w:widowControl/>
              <w:spacing w:line="360" w:lineRule="auto"/>
              <w:jc w:val="left"/>
              <w:rPr>
                <w:rFonts w:hint="default" w:ascii="宋体" w:hAnsi="宋体" w:eastAsia="宋体" w:cs="宋体"/>
                <w:kern w:val="20"/>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本项目预算控制价</w:t>
            </w:r>
            <w:r>
              <w:rPr>
                <w:rFonts w:hint="eastAsia" w:ascii="宋体" w:hAnsi="宋体" w:eastAsia="宋体" w:cs="宋体"/>
                <w:color w:val="000000" w:themeColor="text1"/>
                <w:sz w:val="21"/>
                <w:szCs w:val="21"/>
                <w:highlight w:val="none"/>
                <w14:textFill>
                  <w14:solidFill>
                    <w14:schemeClr w14:val="tx1"/>
                  </w14:solidFill>
                </w14:textFill>
              </w:rPr>
              <w:t>为</w:t>
            </w:r>
            <w:r>
              <w:rPr>
                <w:rFonts w:hint="eastAsia" w:ascii="宋体" w:hAnsi="宋体" w:cs="宋体"/>
                <w:color w:val="000000" w:themeColor="text1"/>
                <w:sz w:val="21"/>
                <w:szCs w:val="21"/>
                <w:highlight w:val="none"/>
                <w:lang w:val="en-US" w:eastAsia="zh-CN"/>
                <w14:textFill>
                  <w14:solidFill>
                    <w14:schemeClr w14:val="tx1"/>
                  </w14:solidFill>
                </w14:textFill>
              </w:rPr>
              <w:t>人民币</w:t>
            </w:r>
            <w:r>
              <w:rPr>
                <w:rFonts w:hint="eastAsia" w:eastAsia="经典等线简"/>
                <w:b/>
                <w:snapToGrid w:val="0"/>
                <w:color w:val="000000"/>
                <w:kern w:val="0"/>
                <w:sz w:val="21"/>
                <w:szCs w:val="21"/>
                <w:highlight w:val="none"/>
                <w:lang w:val="en-US" w:eastAsia="zh-CN"/>
              </w:rPr>
              <w:t>100000</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cs="宋体"/>
                <w:color w:val="000000" w:themeColor="text1"/>
                <w:sz w:val="21"/>
                <w:szCs w:val="21"/>
                <w:highlight w:val="none"/>
                <w:lang w:val="en-US" w:eastAsia="zh-CN"/>
                <w14:textFill>
                  <w14:solidFill>
                    <w14:schemeClr w14:val="tx1"/>
                  </w14:solidFill>
                </w14:textFill>
              </w:rPr>
              <w:t>/年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957"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6</w:t>
            </w:r>
          </w:p>
        </w:tc>
        <w:tc>
          <w:tcPr>
            <w:tcW w:w="1155"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6.1</w:t>
            </w:r>
          </w:p>
        </w:tc>
        <w:tc>
          <w:tcPr>
            <w:tcW w:w="2010"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评标办法</w:t>
            </w:r>
          </w:p>
        </w:tc>
        <w:tc>
          <w:tcPr>
            <w:tcW w:w="5078" w:type="dxa"/>
            <w:vAlign w:val="center"/>
          </w:tcPr>
          <w:p>
            <w:pPr>
              <w:pStyle w:val="1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1.投标人须</w:t>
            </w:r>
            <w:r>
              <w:rPr>
                <w:rFonts w:hint="eastAsia" w:hAnsi="宋体" w:cs="宋体"/>
                <w:color w:val="000000" w:themeColor="text1"/>
                <w:sz w:val="21"/>
                <w:szCs w:val="21"/>
                <w:lang w:val="en-US" w:eastAsia="zh-CN"/>
                <w14:textFill>
                  <w14:solidFill>
                    <w14:schemeClr w14:val="tx1"/>
                  </w14:solidFill>
                </w14:textFill>
              </w:rPr>
              <w:t>下载标书</w:t>
            </w:r>
            <w:r>
              <w:rPr>
                <w:rFonts w:hint="eastAsia" w:ascii="宋体" w:hAnsi="宋体" w:eastAsia="宋体" w:cs="宋体"/>
                <w:color w:val="000000" w:themeColor="text1"/>
                <w:sz w:val="21"/>
                <w:szCs w:val="21"/>
                <w14:textFill>
                  <w14:solidFill>
                    <w14:schemeClr w14:val="tx1"/>
                  </w14:solidFill>
                </w14:textFill>
              </w:rPr>
              <w:t>；</w:t>
            </w:r>
          </w:p>
          <w:p>
            <w:pPr>
              <w:pStyle w:val="1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2.投标人编写投标书，并将标书和各种资质证书复印件，按规定的时间交本单位指定地点；</w:t>
            </w:r>
          </w:p>
          <w:p>
            <w:pPr>
              <w:pStyle w:val="10"/>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3.本单位组成评委会，利用综合评分法对每个投标人现场打分，确定中标单位。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57"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7</w:t>
            </w:r>
          </w:p>
        </w:tc>
        <w:tc>
          <w:tcPr>
            <w:tcW w:w="1155"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7.1</w:t>
            </w:r>
          </w:p>
        </w:tc>
        <w:tc>
          <w:tcPr>
            <w:tcW w:w="2010"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投标人资格要求</w:t>
            </w:r>
          </w:p>
        </w:tc>
        <w:tc>
          <w:tcPr>
            <w:tcW w:w="5078" w:type="dxa"/>
            <w:vAlign w:val="center"/>
          </w:tcPr>
          <w:p>
            <w:pPr>
              <w:pStyle w:val="10"/>
              <w:rPr>
                <w:rFonts w:hint="eastAsia" w:ascii="宋体" w:hAnsi="宋体" w:eastAsia="宋体" w:cs="宋体"/>
                <w:sz w:val="21"/>
                <w:szCs w:val="21"/>
              </w:rPr>
            </w:pPr>
            <w:r>
              <w:rPr>
                <w:rFonts w:hint="eastAsia" w:ascii="宋体" w:hAnsi="宋体" w:eastAsia="宋体" w:cs="宋体"/>
                <w:sz w:val="21"/>
                <w:szCs w:val="21"/>
              </w:rPr>
              <w:t>1.符合《中华人民共和国政府采购法》第二十二条规定条件（提供《政府采购投标承诺函》）；</w:t>
            </w:r>
          </w:p>
          <w:p>
            <w:pPr>
              <w:pStyle w:val="10"/>
              <w:rPr>
                <w:rFonts w:hint="eastAsia" w:ascii="宋体" w:hAnsi="宋体" w:eastAsia="宋体" w:cs="宋体"/>
                <w:sz w:val="21"/>
                <w:szCs w:val="21"/>
              </w:rPr>
            </w:pPr>
            <w:r>
              <w:rPr>
                <w:rFonts w:hint="eastAsia" w:ascii="宋体" w:hAnsi="宋体" w:eastAsia="宋体" w:cs="宋体"/>
                <w:sz w:val="21"/>
                <w:szCs w:val="21"/>
              </w:rPr>
              <w:t>2.报名供应商必须具有独立法人资格或其他非法人组织，提供营业执照或行政主管单位颁发的证明文件，复印件并加盖投标人公章；</w:t>
            </w:r>
          </w:p>
          <w:p>
            <w:pPr>
              <w:pStyle w:val="10"/>
              <w:rPr>
                <w:rFonts w:hint="eastAsia" w:ascii="宋体" w:hAnsi="宋体" w:eastAsia="宋体" w:cs="宋体"/>
                <w:sz w:val="21"/>
                <w:szCs w:val="21"/>
              </w:rPr>
            </w:pPr>
            <w:r>
              <w:rPr>
                <w:rFonts w:hint="eastAsia" w:ascii="宋体" w:hAnsi="宋体" w:eastAsia="宋体" w:cs="宋体"/>
                <w:sz w:val="21"/>
                <w:szCs w:val="21"/>
              </w:rPr>
              <w:t>3.报名供应商必须具有信用中国（网址：https://www.creditchina.gov.cn/）查询截图,须包含以下信息：信息概览、行政处罚、黑名单等,加盖投标人公章；</w:t>
            </w:r>
          </w:p>
          <w:p>
            <w:pPr>
              <w:pStyle w:val="10"/>
              <w:rPr>
                <w:rFonts w:hint="eastAsia" w:ascii="宋体" w:hAnsi="宋体" w:eastAsia="宋体" w:cs="宋体"/>
                <w:sz w:val="21"/>
                <w:szCs w:val="21"/>
              </w:rPr>
            </w:pPr>
            <w:r>
              <w:rPr>
                <w:rFonts w:hint="eastAsia" w:ascii="宋体" w:hAnsi="宋体" w:eastAsia="宋体" w:cs="宋体"/>
                <w:sz w:val="21"/>
                <w:szCs w:val="21"/>
              </w:rPr>
              <w:t>4.报名供应商必须提供近三年（成立不足三年的可从成立之日起算）无重大违法犯罪及不良信用记录，无行贿犯罪记录，且不处于被禁止参与政府采购活动期限内，需提供书面声明函并加盖投标人公章（格式自拟）。</w:t>
            </w:r>
          </w:p>
          <w:p>
            <w:pPr>
              <w:pStyle w:val="10"/>
              <w:rPr>
                <w:rFonts w:hint="eastAsia" w:ascii="宋体" w:hAnsi="宋体" w:eastAsia="宋体" w:cs="宋体"/>
                <w:sz w:val="21"/>
                <w:szCs w:val="21"/>
              </w:rPr>
            </w:pPr>
            <w:r>
              <w:rPr>
                <w:rFonts w:hint="eastAsia" w:ascii="宋体" w:hAnsi="宋体" w:eastAsia="宋体" w:cs="宋体"/>
                <w:sz w:val="21"/>
                <w:szCs w:val="21"/>
              </w:rPr>
              <w:t xml:space="preserve">5.本项目不接受进口产品投标，本项目不接受联合体投标。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7"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8</w:t>
            </w:r>
          </w:p>
        </w:tc>
        <w:tc>
          <w:tcPr>
            <w:tcW w:w="1155"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8.1</w:t>
            </w:r>
          </w:p>
        </w:tc>
        <w:tc>
          <w:tcPr>
            <w:tcW w:w="2010"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招标答疑会议</w:t>
            </w:r>
          </w:p>
        </w:tc>
        <w:tc>
          <w:tcPr>
            <w:tcW w:w="5078" w:type="dxa"/>
            <w:vAlign w:val="center"/>
          </w:tcPr>
          <w:p>
            <w:pPr>
              <w:tabs>
                <w:tab w:val="left" w:pos="915"/>
              </w:tabs>
              <w:rPr>
                <w:rFonts w:hint="eastAsia" w:ascii="宋体" w:hAnsi="宋体" w:eastAsia="宋体" w:cs="宋体"/>
                <w:snapToGrid w:val="0"/>
                <w:sz w:val="21"/>
                <w:szCs w:val="21"/>
              </w:rPr>
            </w:pPr>
            <w:r>
              <w:rPr>
                <w:rFonts w:hint="eastAsia" w:ascii="宋体" w:hAnsi="宋体" w:eastAsia="宋体" w:cs="宋体"/>
                <w:sz w:val="21"/>
                <w:szCs w:val="21"/>
              </w:rPr>
              <w:t>不召开答疑会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957"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9</w:t>
            </w:r>
          </w:p>
        </w:tc>
        <w:tc>
          <w:tcPr>
            <w:tcW w:w="1155"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9.1</w:t>
            </w:r>
          </w:p>
        </w:tc>
        <w:tc>
          <w:tcPr>
            <w:tcW w:w="2010"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投标文件份数及内容要求</w:t>
            </w:r>
          </w:p>
        </w:tc>
        <w:tc>
          <w:tcPr>
            <w:tcW w:w="5078" w:type="dxa"/>
            <w:vAlign w:val="center"/>
          </w:tcPr>
          <w:p>
            <w:pPr>
              <w:pStyle w:val="10"/>
              <w:rPr>
                <w:rFonts w:hint="eastAsia" w:ascii="宋体" w:hAnsi="宋体" w:eastAsia="宋体" w:cs="宋体"/>
                <w:sz w:val="21"/>
                <w:szCs w:val="21"/>
              </w:rPr>
            </w:pPr>
            <w:r>
              <w:rPr>
                <w:rFonts w:hint="eastAsia" w:ascii="宋体" w:hAnsi="宋体" w:eastAsia="宋体" w:cs="宋体"/>
                <w:sz w:val="21"/>
                <w:szCs w:val="21"/>
              </w:rPr>
              <w:t>一、投标文件份数：正本1份、副本</w:t>
            </w:r>
            <w:r>
              <w:rPr>
                <w:rFonts w:hint="eastAsia" w:hAnsi="宋体" w:cs="宋体"/>
                <w:sz w:val="21"/>
                <w:szCs w:val="21"/>
                <w:lang w:val="en-US" w:eastAsia="zh-CN"/>
              </w:rPr>
              <w:t>4</w:t>
            </w:r>
            <w:r>
              <w:rPr>
                <w:rFonts w:hint="eastAsia" w:ascii="宋体" w:hAnsi="宋体" w:eastAsia="宋体" w:cs="宋体"/>
                <w:sz w:val="21"/>
                <w:szCs w:val="21"/>
              </w:rPr>
              <w:t>份，并在投标文件的封面注明“正本”或“副本”，用同一封袋密封装订提交。</w:t>
            </w:r>
          </w:p>
          <w:p>
            <w:pPr>
              <w:pStyle w:val="10"/>
              <w:rPr>
                <w:rFonts w:hint="eastAsia" w:ascii="宋体" w:hAnsi="宋体" w:eastAsia="宋体" w:cs="宋体"/>
                <w:sz w:val="21"/>
                <w:szCs w:val="21"/>
              </w:rPr>
            </w:pPr>
            <w:r>
              <w:rPr>
                <w:rFonts w:hint="eastAsia" w:ascii="宋体" w:hAnsi="宋体" w:eastAsia="宋体" w:cs="宋体"/>
                <w:sz w:val="21"/>
                <w:szCs w:val="21"/>
              </w:rPr>
              <w:t>二、投标须提供的文件</w:t>
            </w:r>
          </w:p>
          <w:p>
            <w:pPr>
              <w:pStyle w:val="10"/>
              <w:rPr>
                <w:rFonts w:hint="eastAsia" w:ascii="宋体" w:hAnsi="宋体" w:eastAsia="宋体" w:cs="宋体"/>
                <w:sz w:val="21"/>
                <w:szCs w:val="21"/>
              </w:rPr>
            </w:pPr>
            <w:r>
              <w:rPr>
                <w:rFonts w:hint="eastAsia" w:ascii="宋体" w:hAnsi="宋体" w:eastAsia="宋体" w:cs="宋体"/>
                <w:sz w:val="21"/>
                <w:szCs w:val="21"/>
              </w:rPr>
              <w:t>1.企业法定代表人证明书或授权委托书原件（需提供授权人和被授权人双方签名及双方身份证复印件）；</w:t>
            </w:r>
          </w:p>
          <w:p>
            <w:pPr>
              <w:pStyle w:val="10"/>
              <w:rPr>
                <w:rFonts w:hint="eastAsia" w:ascii="宋体" w:hAnsi="宋体" w:eastAsia="宋体" w:cs="宋体"/>
                <w:sz w:val="21"/>
                <w:szCs w:val="21"/>
              </w:rPr>
            </w:pPr>
            <w:r>
              <w:rPr>
                <w:rFonts w:hint="eastAsia" w:ascii="宋体" w:hAnsi="宋体" w:eastAsia="宋体" w:cs="宋体"/>
                <w:sz w:val="21"/>
                <w:szCs w:val="21"/>
              </w:rPr>
              <w:t>2.企业法人营业执照（副本）复印件（复印件须加盖报名单位公章以备存查，下同）；</w:t>
            </w:r>
          </w:p>
          <w:p>
            <w:pPr>
              <w:pStyle w:val="10"/>
              <w:rPr>
                <w:rFonts w:hint="eastAsia" w:ascii="宋体" w:hAnsi="宋体" w:eastAsia="宋体" w:cs="宋体"/>
                <w:sz w:val="21"/>
                <w:szCs w:val="21"/>
              </w:rPr>
            </w:pPr>
            <w:r>
              <w:rPr>
                <w:rFonts w:hint="eastAsia" w:ascii="宋体" w:hAnsi="宋体" w:eastAsia="宋体" w:cs="宋体"/>
                <w:sz w:val="21"/>
                <w:szCs w:val="21"/>
              </w:rPr>
              <w:t>3.投标人资质证书及复印件；</w:t>
            </w:r>
          </w:p>
          <w:p>
            <w:pPr>
              <w:pStyle w:val="10"/>
              <w:rPr>
                <w:rFonts w:hint="eastAsia" w:ascii="宋体" w:hAnsi="宋体" w:eastAsia="宋体" w:cs="宋体"/>
                <w:sz w:val="21"/>
                <w:szCs w:val="21"/>
              </w:rPr>
            </w:pPr>
            <w:r>
              <w:rPr>
                <w:rFonts w:hint="eastAsia" w:ascii="宋体" w:hAnsi="宋体" w:eastAsia="宋体" w:cs="宋体"/>
                <w:sz w:val="21"/>
                <w:szCs w:val="21"/>
              </w:rPr>
              <w:t>4.授权委托人及投标人的公民身份证复印件；</w:t>
            </w:r>
          </w:p>
          <w:p>
            <w:pPr>
              <w:pStyle w:val="10"/>
              <w:rPr>
                <w:rFonts w:hint="eastAsia" w:ascii="宋体" w:hAnsi="宋体" w:eastAsia="宋体" w:cs="宋体"/>
                <w:sz w:val="21"/>
                <w:szCs w:val="21"/>
              </w:rPr>
            </w:pPr>
            <w:r>
              <w:rPr>
                <w:rFonts w:hint="eastAsia" w:ascii="宋体" w:hAnsi="宋体" w:eastAsia="宋体" w:cs="宋体"/>
                <w:sz w:val="21"/>
                <w:szCs w:val="21"/>
              </w:rPr>
              <w:t>5.对招标方要求进行报价。</w:t>
            </w:r>
          </w:p>
          <w:p>
            <w:pPr>
              <w:pStyle w:val="10"/>
              <w:rPr>
                <w:rFonts w:hint="eastAsia" w:ascii="宋体" w:hAnsi="宋体" w:eastAsia="宋体" w:cs="宋体"/>
                <w:sz w:val="21"/>
                <w:szCs w:val="21"/>
              </w:rPr>
            </w:pPr>
            <w:r>
              <w:rPr>
                <w:rFonts w:hint="eastAsia" w:ascii="宋体" w:hAnsi="宋体" w:eastAsia="宋体" w:cs="宋体"/>
                <w:sz w:val="21"/>
                <w:szCs w:val="21"/>
              </w:rPr>
              <w:t>三、投标单位有下列情况之一的，其投标将被拒绝或作无效投标处理：</w:t>
            </w:r>
          </w:p>
          <w:p>
            <w:pPr>
              <w:pStyle w:val="10"/>
              <w:rPr>
                <w:rFonts w:hint="eastAsia" w:ascii="宋体" w:hAnsi="宋体" w:eastAsia="宋体" w:cs="宋体"/>
                <w:sz w:val="21"/>
                <w:szCs w:val="21"/>
              </w:rPr>
            </w:pPr>
            <w:r>
              <w:rPr>
                <w:rFonts w:hint="eastAsia" w:ascii="宋体" w:hAnsi="宋体" w:eastAsia="宋体" w:cs="宋体"/>
                <w:sz w:val="21"/>
                <w:szCs w:val="21"/>
              </w:rPr>
              <w:t>1.未在规定时间内将投标书送达规定地点的。</w:t>
            </w:r>
          </w:p>
          <w:p>
            <w:pPr>
              <w:pStyle w:val="10"/>
              <w:rPr>
                <w:rFonts w:hint="eastAsia" w:ascii="宋体" w:hAnsi="宋体" w:eastAsia="宋体" w:cs="宋体"/>
                <w:sz w:val="21"/>
                <w:szCs w:val="21"/>
              </w:rPr>
            </w:pPr>
            <w:r>
              <w:rPr>
                <w:rFonts w:hint="eastAsia" w:ascii="宋体" w:hAnsi="宋体" w:eastAsia="宋体" w:cs="宋体"/>
                <w:sz w:val="21"/>
                <w:szCs w:val="21"/>
              </w:rPr>
              <w:t>2.投标书未按规定密封或未按要求加盖公章或投标文件签署不符合要求的。</w:t>
            </w:r>
          </w:p>
          <w:p>
            <w:pPr>
              <w:pStyle w:val="10"/>
              <w:rPr>
                <w:rFonts w:hint="eastAsia" w:ascii="宋体" w:hAnsi="宋体" w:eastAsia="宋体" w:cs="宋体"/>
                <w:sz w:val="21"/>
                <w:szCs w:val="21"/>
              </w:rPr>
            </w:pPr>
            <w:r>
              <w:rPr>
                <w:rFonts w:hint="eastAsia" w:ascii="宋体" w:hAnsi="宋体" w:eastAsia="宋体" w:cs="宋体"/>
                <w:sz w:val="21"/>
                <w:szCs w:val="21"/>
              </w:rPr>
              <w:t>3.投标文件无法人代表签字或签字无法人代表有效委托的。</w:t>
            </w:r>
          </w:p>
          <w:p>
            <w:pPr>
              <w:pStyle w:val="10"/>
              <w:rPr>
                <w:rFonts w:hint="eastAsia" w:ascii="宋体" w:hAnsi="宋体" w:eastAsia="宋体" w:cs="宋体"/>
                <w:sz w:val="21"/>
                <w:szCs w:val="21"/>
              </w:rPr>
            </w:pPr>
            <w:r>
              <w:rPr>
                <w:rFonts w:hint="eastAsia" w:ascii="宋体" w:hAnsi="宋体" w:eastAsia="宋体" w:cs="宋体"/>
                <w:sz w:val="21"/>
                <w:szCs w:val="21"/>
              </w:rPr>
              <w:t>4.投标单位不符合投标单位资格要求的。</w:t>
            </w:r>
          </w:p>
          <w:p>
            <w:pPr>
              <w:pStyle w:val="10"/>
              <w:rPr>
                <w:rFonts w:hint="eastAsia" w:ascii="宋体" w:hAnsi="宋体" w:eastAsia="宋体" w:cs="宋体"/>
                <w:sz w:val="21"/>
                <w:szCs w:val="21"/>
              </w:rPr>
            </w:pPr>
            <w:r>
              <w:rPr>
                <w:rFonts w:hint="eastAsia" w:ascii="宋体" w:hAnsi="宋体" w:eastAsia="宋体" w:cs="宋体"/>
                <w:sz w:val="21"/>
                <w:szCs w:val="21"/>
              </w:rPr>
              <w:t>5.投标单位不符合项目报价要求的。</w:t>
            </w:r>
          </w:p>
          <w:p>
            <w:pPr>
              <w:pStyle w:val="10"/>
              <w:rPr>
                <w:rFonts w:hint="eastAsia" w:ascii="宋体" w:hAnsi="宋体" w:eastAsia="宋体" w:cs="宋体"/>
                <w:sz w:val="21"/>
                <w:szCs w:val="21"/>
              </w:rPr>
            </w:pPr>
            <w:r>
              <w:rPr>
                <w:rFonts w:hint="eastAsia" w:ascii="宋体" w:hAnsi="宋体" w:eastAsia="宋体" w:cs="宋体"/>
                <w:sz w:val="21"/>
                <w:szCs w:val="21"/>
              </w:rPr>
              <w:t>6.投标文件中提供伪造、虚假材料的。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7"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10</w:t>
            </w:r>
          </w:p>
        </w:tc>
        <w:tc>
          <w:tcPr>
            <w:tcW w:w="1155"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10.1</w:t>
            </w:r>
          </w:p>
        </w:tc>
        <w:tc>
          <w:tcPr>
            <w:tcW w:w="2010"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投标有效期</w:t>
            </w:r>
          </w:p>
        </w:tc>
        <w:tc>
          <w:tcPr>
            <w:tcW w:w="5078" w:type="dxa"/>
            <w:vAlign w:val="center"/>
          </w:tcPr>
          <w:p>
            <w:pPr>
              <w:pStyle w:val="10"/>
              <w:rPr>
                <w:rFonts w:hint="eastAsia" w:ascii="宋体" w:hAnsi="宋体" w:eastAsia="宋体" w:cs="宋体"/>
                <w:sz w:val="21"/>
                <w:szCs w:val="21"/>
              </w:rPr>
            </w:pPr>
            <w:r>
              <w:rPr>
                <w:rFonts w:hint="eastAsia" w:hAnsi="宋体" w:cs="宋体"/>
                <w:sz w:val="21"/>
                <w:szCs w:val="21"/>
                <w:lang w:val="en-US" w:eastAsia="zh-CN"/>
              </w:rPr>
              <w:t>5</w:t>
            </w:r>
            <w:r>
              <w:rPr>
                <w:rFonts w:hint="eastAsia" w:ascii="宋体" w:hAnsi="宋体" w:eastAsia="宋体" w:cs="宋体"/>
                <w:sz w:val="21"/>
                <w:szCs w:val="21"/>
              </w:rPr>
              <w:t>天（日历日）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57"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11</w:t>
            </w:r>
          </w:p>
        </w:tc>
        <w:tc>
          <w:tcPr>
            <w:tcW w:w="1155"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11.1</w:t>
            </w:r>
          </w:p>
        </w:tc>
        <w:tc>
          <w:tcPr>
            <w:tcW w:w="2010"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投标截止时间</w:t>
            </w:r>
          </w:p>
        </w:tc>
        <w:tc>
          <w:tcPr>
            <w:tcW w:w="5078" w:type="dxa"/>
            <w:vAlign w:val="center"/>
          </w:tcPr>
          <w:p>
            <w:pPr>
              <w:pStyle w:val="10"/>
              <w:rPr>
                <w:rFonts w:hint="eastAsia" w:ascii="宋体" w:hAnsi="宋体" w:eastAsia="宋体" w:cs="宋体"/>
                <w:b w:val="0"/>
                <w:bCs w:val="0"/>
                <w:sz w:val="21"/>
                <w:szCs w:val="21"/>
                <w:highlight w:val="none"/>
              </w:rPr>
            </w:pPr>
            <w:r>
              <w:rPr>
                <w:rFonts w:hint="eastAsia" w:ascii="宋体" w:hAnsi="宋体" w:eastAsia="宋体" w:cs="宋体"/>
                <w:b w:val="0"/>
                <w:bCs w:val="0"/>
                <w:snapToGrid w:val="0"/>
                <w:sz w:val="21"/>
                <w:szCs w:val="21"/>
                <w:highlight w:val="none"/>
              </w:rPr>
              <w:t>20</w:t>
            </w:r>
            <w:r>
              <w:rPr>
                <w:rFonts w:hint="eastAsia" w:ascii="宋体" w:hAnsi="宋体" w:eastAsia="宋体" w:cs="宋体"/>
                <w:b w:val="0"/>
                <w:bCs w:val="0"/>
                <w:snapToGrid w:val="0"/>
                <w:sz w:val="21"/>
                <w:szCs w:val="21"/>
                <w:highlight w:val="none"/>
                <w:lang w:val="en-US" w:eastAsia="zh-CN"/>
              </w:rPr>
              <w:t>2</w:t>
            </w:r>
            <w:r>
              <w:rPr>
                <w:rFonts w:hint="eastAsia" w:hAnsi="宋体" w:cs="宋体"/>
                <w:b w:val="0"/>
                <w:bCs w:val="0"/>
                <w:snapToGrid w:val="0"/>
                <w:sz w:val="21"/>
                <w:szCs w:val="21"/>
                <w:highlight w:val="none"/>
                <w:lang w:val="en-US" w:eastAsia="zh-CN"/>
              </w:rPr>
              <w:t>4</w:t>
            </w:r>
            <w:r>
              <w:rPr>
                <w:rFonts w:hint="eastAsia" w:ascii="宋体" w:hAnsi="宋体" w:eastAsia="宋体" w:cs="宋体"/>
                <w:b w:val="0"/>
                <w:bCs w:val="0"/>
                <w:snapToGrid w:val="0"/>
                <w:sz w:val="21"/>
                <w:szCs w:val="21"/>
                <w:highlight w:val="none"/>
              </w:rPr>
              <w:t>年</w:t>
            </w:r>
            <w:r>
              <w:rPr>
                <w:rFonts w:hint="eastAsia" w:eastAsia="经典等线简"/>
                <w:b w:val="0"/>
                <w:bCs w:val="0"/>
                <w:snapToGrid w:val="0"/>
                <w:color w:val="000000"/>
                <w:kern w:val="0"/>
                <w:sz w:val="21"/>
                <w:szCs w:val="21"/>
                <w:highlight w:val="none"/>
                <w:lang w:val="en-US" w:eastAsia="zh-CN"/>
              </w:rPr>
              <w:t>3</w:t>
            </w:r>
            <w:r>
              <w:rPr>
                <w:rFonts w:hint="eastAsia" w:ascii="宋体" w:hAnsi="宋体" w:eastAsia="宋体" w:cs="宋体"/>
                <w:b w:val="0"/>
                <w:bCs w:val="0"/>
                <w:snapToGrid w:val="0"/>
                <w:sz w:val="21"/>
                <w:szCs w:val="21"/>
                <w:highlight w:val="none"/>
              </w:rPr>
              <w:t>月</w:t>
            </w:r>
            <w:r>
              <w:rPr>
                <w:rFonts w:hint="eastAsia" w:eastAsia="经典等线简"/>
                <w:b w:val="0"/>
                <w:bCs w:val="0"/>
                <w:snapToGrid w:val="0"/>
                <w:color w:val="000000"/>
                <w:kern w:val="0"/>
                <w:sz w:val="21"/>
                <w:szCs w:val="21"/>
                <w:highlight w:val="none"/>
                <w:lang w:val="en-US" w:eastAsia="zh-CN"/>
              </w:rPr>
              <w:t>22</w:t>
            </w:r>
            <w:r>
              <w:rPr>
                <w:rFonts w:hint="eastAsia" w:ascii="宋体" w:hAnsi="宋体" w:eastAsia="宋体" w:cs="宋体"/>
                <w:b w:val="0"/>
                <w:bCs w:val="0"/>
                <w:snapToGrid w:val="0"/>
                <w:sz w:val="21"/>
                <w:szCs w:val="21"/>
                <w:highlight w:val="none"/>
              </w:rPr>
              <w:t>日下午</w:t>
            </w:r>
            <w:r>
              <w:rPr>
                <w:rFonts w:hint="eastAsia" w:hAnsi="宋体" w:cs="宋体"/>
                <w:b w:val="0"/>
                <w:bCs w:val="0"/>
                <w:snapToGrid w:val="0"/>
                <w:sz w:val="21"/>
                <w:szCs w:val="21"/>
                <w:highlight w:val="none"/>
                <w:lang w:val="en-US" w:eastAsia="zh-CN"/>
              </w:rPr>
              <w:t>16</w:t>
            </w:r>
            <w:r>
              <w:rPr>
                <w:rFonts w:hint="eastAsia" w:ascii="宋体" w:hAnsi="宋体" w:eastAsia="宋体" w:cs="宋体"/>
                <w:b w:val="0"/>
                <w:bCs w:val="0"/>
                <w:snapToGrid w:val="0"/>
                <w:sz w:val="21"/>
                <w:szCs w:val="21"/>
                <w:highlight w:val="none"/>
              </w:rPr>
              <w:t>时</w:t>
            </w:r>
            <w:r>
              <w:rPr>
                <w:rFonts w:hint="eastAsia" w:hAnsi="宋体" w:cs="宋体"/>
                <w:b w:val="0"/>
                <w:bCs w:val="0"/>
                <w:snapToGrid w:val="0"/>
                <w:sz w:val="21"/>
                <w:szCs w:val="21"/>
                <w:highlight w:val="none"/>
                <w:lang w:val="en-US" w:eastAsia="zh-CN"/>
              </w:rPr>
              <w:t>3</w:t>
            </w:r>
            <w:r>
              <w:rPr>
                <w:rFonts w:hint="eastAsia" w:ascii="宋体" w:hAnsi="宋体" w:eastAsia="宋体" w:cs="宋体"/>
                <w:b w:val="0"/>
                <w:bCs w:val="0"/>
                <w:snapToGrid w:val="0"/>
                <w:sz w:val="21"/>
                <w:szCs w:val="21"/>
                <w:highlight w:val="none"/>
              </w:rPr>
              <w:t>0分（北京时间）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57"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12</w:t>
            </w:r>
          </w:p>
        </w:tc>
        <w:tc>
          <w:tcPr>
            <w:tcW w:w="1155"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12.1</w:t>
            </w:r>
          </w:p>
        </w:tc>
        <w:tc>
          <w:tcPr>
            <w:tcW w:w="2010"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开标时间</w:t>
            </w:r>
          </w:p>
        </w:tc>
        <w:tc>
          <w:tcPr>
            <w:tcW w:w="5078" w:type="dxa"/>
            <w:vAlign w:val="center"/>
          </w:tcPr>
          <w:p>
            <w:pPr>
              <w:pStyle w:val="10"/>
              <w:rPr>
                <w:rFonts w:hint="eastAsia" w:ascii="宋体" w:hAnsi="宋体" w:eastAsia="宋体" w:cs="宋体"/>
                <w:b w:val="0"/>
                <w:bCs w:val="0"/>
                <w:sz w:val="21"/>
                <w:szCs w:val="21"/>
                <w:highlight w:val="none"/>
              </w:rPr>
            </w:pPr>
            <w:r>
              <w:rPr>
                <w:rFonts w:hint="eastAsia" w:ascii="宋体" w:hAnsi="宋体" w:eastAsia="宋体" w:cs="宋体"/>
                <w:b w:val="0"/>
                <w:bCs w:val="0"/>
                <w:snapToGrid w:val="0"/>
                <w:sz w:val="21"/>
                <w:szCs w:val="21"/>
                <w:highlight w:val="none"/>
              </w:rPr>
              <w:t>20</w:t>
            </w:r>
            <w:r>
              <w:rPr>
                <w:rFonts w:hint="eastAsia" w:ascii="宋体" w:hAnsi="宋体" w:eastAsia="宋体" w:cs="宋体"/>
                <w:b w:val="0"/>
                <w:bCs w:val="0"/>
                <w:snapToGrid w:val="0"/>
                <w:sz w:val="21"/>
                <w:szCs w:val="21"/>
                <w:highlight w:val="none"/>
                <w:lang w:val="en-US" w:eastAsia="zh-CN"/>
              </w:rPr>
              <w:t>2</w:t>
            </w:r>
            <w:r>
              <w:rPr>
                <w:rFonts w:hint="eastAsia" w:hAnsi="宋体" w:cs="宋体"/>
                <w:b w:val="0"/>
                <w:bCs w:val="0"/>
                <w:snapToGrid w:val="0"/>
                <w:sz w:val="21"/>
                <w:szCs w:val="21"/>
                <w:highlight w:val="none"/>
                <w:lang w:val="en-US" w:eastAsia="zh-CN"/>
              </w:rPr>
              <w:t>4</w:t>
            </w:r>
            <w:r>
              <w:rPr>
                <w:rFonts w:hint="eastAsia" w:ascii="宋体" w:hAnsi="宋体" w:eastAsia="宋体" w:cs="宋体"/>
                <w:b w:val="0"/>
                <w:bCs w:val="0"/>
                <w:snapToGrid w:val="0"/>
                <w:sz w:val="21"/>
                <w:szCs w:val="21"/>
                <w:highlight w:val="none"/>
              </w:rPr>
              <w:t>年</w:t>
            </w:r>
            <w:r>
              <w:rPr>
                <w:rFonts w:hint="eastAsia" w:eastAsia="经典等线简"/>
                <w:b w:val="0"/>
                <w:bCs w:val="0"/>
                <w:snapToGrid w:val="0"/>
                <w:color w:val="000000"/>
                <w:kern w:val="0"/>
                <w:sz w:val="21"/>
                <w:szCs w:val="21"/>
                <w:highlight w:val="none"/>
                <w:lang w:val="en-US" w:eastAsia="zh-CN"/>
              </w:rPr>
              <w:t>3</w:t>
            </w:r>
            <w:r>
              <w:rPr>
                <w:rFonts w:hint="eastAsia" w:ascii="宋体" w:hAnsi="宋体" w:eastAsia="宋体" w:cs="宋体"/>
                <w:b w:val="0"/>
                <w:bCs w:val="0"/>
                <w:snapToGrid w:val="0"/>
                <w:sz w:val="21"/>
                <w:szCs w:val="21"/>
                <w:highlight w:val="none"/>
              </w:rPr>
              <w:t>月</w:t>
            </w:r>
            <w:r>
              <w:rPr>
                <w:rFonts w:hint="eastAsia" w:hAnsi="宋体" w:cs="宋体"/>
                <w:b w:val="0"/>
                <w:bCs w:val="0"/>
                <w:snapToGrid w:val="0"/>
                <w:sz w:val="21"/>
                <w:szCs w:val="21"/>
                <w:highlight w:val="none"/>
                <w:lang w:val="en-US" w:eastAsia="zh-CN"/>
              </w:rPr>
              <w:t>22</w:t>
            </w:r>
            <w:r>
              <w:rPr>
                <w:rFonts w:hint="eastAsia" w:ascii="宋体" w:hAnsi="宋体" w:eastAsia="宋体" w:cs="宋体"/>
                <w:b w:val="0"/>
                <w:bCs w:val="0"/>
                <w:snapToGrid w:val="0"/>
                <w:sz w:val="21"/>
                <w:szCs w:val="21"/>
                <w:highlight w:val="none"/>
              </w:rPr>
              <w:t>日下午1</w:t>
            </w:r>
            <w:r>
              <w:rPr>
                <w:rFonts w:hint="eastAsia" w:hAnsi="宋体" w:cs="宋体"/>
                <w:b w:val="0"/>
                <w:bCs w:val="0"/>
                <w:snapToGrid w:val="0"/>
                <w:sz w:val="21"/>
                <w:szCs w:val="21"/>
                <w:highlight w:val="none"/>
                <w:lang w:val="en-US" w:eastAsia="zh-CN"/>
              </w:rPr>
              <w:t>6</w:t>
            </w:r>
            <w:r>
              <w:rPr>
                <w:rFonts w:hint="eastAsia" w:ascii="宋体" w:hAnsi="宋体" w:eastAsia="宋体" w:cs="宋体"/>
                <w:b w:val="0"/>
                <w:bCs w:val="0"/>
                <w:snapToGrid w:val="0"/>
                <w:sz w:val="21"/>
                <w:szCs w:val="21"/>
                <w:highlight w:val="none"/>
              </w:rPr>
              <w:t>时</w:t>
            </w:r>
            <w:r>
              <w:rPr>
                <w:rFonts w:hint="eastAsia" w:hAnsi="宋体" w:cs="宋体"/>
                <w:b w:val="0"/>
                <w:bCs w:val="0"/>
                <w:snapToGrid w:val="0"/>
                <w:sz w:val="21"/>
                <w:szCs w:val="21"/>
                <w:highlight w:val="none"/>
                <w:lang w:val="en-US" w:eastAsia="zh-CN"/>
              </w:rPr>
              <w:t>3</w:t>
            </w:r>
            <w:bookmarkStart w:id="1" w:name="_GoBack"/>
            <w:bookmarkEnd w:id="1"/>
            <w:r>
              <w:rPr>
                <w:rFonts w:hint="eastAsia" w:ascii="宋体" w:hAnsi="宋体" w:eastAsia="宋体" w:cs="宋体"/>
                <w:b w:val="0"/>
                <w:bCs w:val="0"/>
                <w:snapToGrid w:val="0"/>
                <w:sz w:val="21"/>
                <w:szCs w:val="21"/>
                <w:highlight w:val="none"/>
              </w:rPr>
              <w:t>0分（北京时间）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57"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13</w:t>
            </w:r>
          </w:p>
        </w:tc>
        <w:tc>
          <w:tcPr>
            <w:tcW w:w="1155"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13.1</w:t>
            </w:r>
          </w:p>
        </w:tc>
        <w:tc>
          <w:tcPr>
            <w:tcW w:w="2010" w:type="dxa"/>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开标地点</w:t>
            </w:r>
          </w:p>
        </w:tc>
        <w:tc>
          <w:tcPr>
            <w:tcW w:w="5078" w:type="dxa"/>
            <w:vAlign w:val="center"/>
          </w:tcPr>
          <w:p>
            <w:pPr>
              <w:pStyle w:val="10"/>
              <w:rPr>
                <w:rFonts w:hint="default" w:ascii="宋体" w:hAnsi="宋体" w:eastAsia="宋体" w:cs="宋体"/>
                <w:sz w:val="21"/>
                <w:szCs w:val="21"/>
                <w:lang w:val="en-US" w:eastAsia="zh-CN"/>
              </w:rPr>
            </w:pPr>
            <w:r>
              <w:rPr>
                <w:rFonts w:hint="eastAsia" w:hAnsi="宋体" w:cs="宋体"/>
                <w:sz w:val="21"/>
                <w:szCs w:val="21"/>
                <w:lang w:val="en-US" w:eastAsia="zh-CN"/>
              </w:rPr>
              <w:t>深圳中学坪山创新学校行政楼会议室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57" w:type="dxa"/>
            <w:tcBorders>
              <w:bottom w:val="double" w:color="auto" w:sz="4" w:space="0"/>
            </w:tcBorders>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14</w:t>
            </w:r>
          </w:p>
        </w:tc>
        <w:tc>
          <w:tcPr>
            <w:tcW w:w="1155" w:type="dxa"/>
            <w:tcBorders>
              <w:bottom w:val="double" w:color="auto" w:sz="4" w:space="0"/>
            </w:tcBorders>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14.1</w:t>
            </w:r>
          </w:p>
        </w:tc>
        <w:tc>
          <w:tcPr>
            <w:tcW w:w="2010" w:type="dxa"/>
            <w:tcBorders>
              <w:bottom w:val="double" w:color="auto" w:sz="4" w:space="0"/>
            </w:tcBorders>
            <w:vAlign w:val="center"/>
          </w:tcPr>
          <w:p>
            <w:pPr>
              <w:pStyle w:val="10"/>
              <w:jc w:val="center"/>
              <w:rPr>
                <w:rFonts w:hint="eastAsia" w:ascii="宋体" w:hAnsi="宋体" w:eastAsia="宋体" w:cs="宋体"/>
                <w:sz w:val="21"/>
                <w:szCs w:val="21"/>
              </w:rPr>
            </w:pPr>
            <w:r>
              <w:rPr>
                <w:rFonts w:hint="eastAsia" w:ascii="宋体" w:hAnsi="宋体" w:eastAsia="宋体" w:cs="宋体"/>
                <w:sz w:val="21"/>
                <w:szCs w:val="21"/>
              </w:rPr>
              <w:t>招标原则</w:t>
            </w:r>
          </w:p>
        </w:tc>
        <w:tc>
          <w:tcPr>
            <w:tcW w:w="5078" w:type="dxa"/>
            <w:tcBorders>
              <w:bottom w:val="double" w:color="auto" w:sz="4" w:space="0"/>
            </w:tcBorders>
            <w:vAlign w:val="center"/>
          </w:tcPr>
          <w:p>
            <w:pPr>
              <w:pStyle w:val="10"/>
              <w:rPr>
                <w:rFonts w:hint="eastAsia" w:ascii="宋体" w:hAnsi="宋体" w:eastAsia="宋体" w:cs="宋体"/>
                <w:sz w:val="21"/>
                <w:szCs w:val="21"/>
              </w:rPr>
            </w:pPr>
            <w:r>
              <w:rPr>
                <w:rFonts w:hint="eastAsia" w:ascii="宋体" w:hAnsi="宋体" w:eastAsia="宋体" w:cs="宋体"/>
                <w:sz w:val="21"/>
                <w:szCs w:val="21"/>
              </w:rPr>
              <w:t>1．公平、公开、公正的原则；</w:t>
            </w:r>
          </w:p>
          <w:p>
            <w:pPr>
              <w:pStyle w:val="10"/>
              <w:rPr>
                <w:rFonts w:hint="eastAsia" w:ascii="宋体" w:hAnsi="宋体" w:eastAsia="宋体" w:cs="宋体"/>
                <w:sz w:val="21"/>
                <w:szCs w:val="21"/>
              </w:rPr>
            </w:pPr>
            <w:r>
              <w:rPr>
                <w:rFonts w:hint="eastAsia" w:ascii="宋体" w:hAnsi="宋体" w:eastAsia="宋体" w:cs="宋体"/>
                <w:sz w:val="21"/>
                <w:szCs w:val="21"/>
              </w:rPr>
              <w:t>2．择优录用的原则；</w:t>
            </w:r>
          </w:p>
          <w:p>
            <w:pPr>
              <w:pStyle w:val="10"/>
              <w:rPr>
                <w:rFonts w:hint="eastAsia" w:ascii="宋体" w:hAnsi="宋体" w:eastAsia="宋体" w:cs="宋体"/>
                <w:sz w:val="21"/>
                <w:szCs w:val="21"/>
              </w:rPr>
            </w:pPr>
            <w:r>
              <w:rPr>
                <w:rFonts w:hint="eastAsia" w:ascii="宋体" w:hAnsi="宋体" w:eastAsia="宋体" w:cs="宋体"/>
                <w:sz w:val="21"/>
                <w:szCs w:val="21"/>
              </w:rPr>
              <w:t>3．实事求是的原则。</w:t>
            </w:r>
          </w:p>
        </w:tc>
      </w:tr>
    </w:tbl>
    <w:p>
      <w:pPr>
        <w:pStyle w:val="10"/>
        <w:rPr>
          <w:rFonts w:ascii="黑体" w:hAnsi="黑体" w:eastAsia="黑体" w:cs="黑体"/>
          <w:b/>
          <w:bCs/>
          <w:color w:val="000000"/>
          <w:sz w:val="44"/>
          <w:szCs w:val="44"/>
        </w:rPr>
      </w:pPr>
    </w:p>
    <w:p>
      <w:pPr>
        <w:pStyle w:val="10"/>
        <w:jc w:val="center"/>
        <w:rPr>
          <w:rFonts w:ascii="黑体" w:hAnsi="黑体" w:eastAsia="黑体" w:cs="黑体"/>
          <w:b/>
          <w:bCs/>
          <w:color w:val="000000"/>
          <w:sz w:val="44"/>
          <w:szCs w:val="44"/>
        </w:rPr>
      </w:pPr>
      <w:r>
        <w:rPr>
          <w:rFonts w:hint="eastAsia" w:ascii="黑体" w:hAnsi="黑体" w:eastAsia="黑体" w:cs="黑体"/>
          <w:b/>
          <w:bCs/>
          <w:color w:val="000000"/>
          <w:sz w:val="44"/>
          <w:szCs w:val="44"/>
        </w:rPr>
        <w:t>二、项目需求</w:t>
      </w:r>
    </w:p>
    <w:p>
      <w:pPr>
        <w:pStyle w:val="4"/>
        <w:adjustRightInd w:val="0"/>
        <w:snapToGrid w:val="0"/>
        <w:spacing w:before="0" w:after="0" w:line="360" w:lineRule="auto"/>
        <w:ind w:left="-450"/>
        <w:rPr>
          <w:rFonts w:hint="eastAsia" w:ascii="仿宋" w:hAnsi="仿宋" w:eastAsia="仿宋" w:cs="仿宋"/>
          <w:b/>
          <w:bCs/>
          <w:snapToGrid w:val="0"/>
          <w:color w:val="auto"/>
          <w:kern w:val="0"/>
          <w:sz w:val="32"/>
          <w:szCs w:val="32"/>
          <w:highlight w:val="none"/>
          <w:lang w:val="en-US" w:eastAsia="zh-CN" w:bidi="ar-SA"/>
        </w:rPr>
      </w:pPr>
      <w:r>
        <w:rPr>
          <w:rFonts w:hint="eastAsia" w:ascii="仿宋" w:hAnsi="仿宋" w:eastAsia="仿宋" w:cs="仿宋"/>
          <w:b/>
          <w:bCs/>
          <w:snapToGrid w:val="0"/>
          <w:color w:val="auto"/>
          <w:kern w:val="0"/>
          <w:sz w:val="32"/>
          <w:szCs w:val="32"/>
          <w:highlight w:val="none"/>
          <w:lang w:val="en-US" w:eastAsia="zh-CN" w:bidi="ar-SA"/>
        </w:rPr>
        <w:t>（一）项目背景</w:t>
      </w:r>
    </w:p>
    <w:p>
      <w:pPr>
        <w:adjustRightInd w:val="0"/>
        <w:spacing w:line="360" w:lineRule="auto"/>
        <w:ind w:firstLine="640" w:firstLineChars="200"/>
        <w:rPr>
          <w:rFonts w:hint="default"/>
          <w:lang w:val="en-US"/>
        </w:rPr>
      </w:pPr>
      <w:r>
        <w:rPr>
          <w:rFonts w:hint="eastAsia" w:ascii="仿宋" w:hAnsi="仿宋" w:eastAsia="仿宋" w:cs="仿宋"/>
          <w:snapToGrid w:val="0"/>
          <w:kern w:val="0"/>
          <w:sz w:val="32"/>
          <w:szCs w:val="32"/>
        </w:rPr>
        <w:t>电梯是大楼垂直运输的重要通道，涉及学生的安全和员工的正常工作</w:t>
      </w:r>
      <w:r>
        <w:rPr>
          <w:rFonts w:hint="eastAsia" w:ascii="仿宋" w:hAnsi="仿宋" w:eastAsia="仿宋" w:cs="仿宋"/>
          <w:snapToGrid w:val="0"/>
          <w:kern w:val="0"/>
          <w:sz w:val="32"/>
          <w:szCs w:val="32"/>
          <w:lang w:eastAsia="zh-CN"/>
        </w:rPr>
        <w:t>。</w:t>
      </w:r>
      <w:r>
        <w:rPr>
          <w:rFonts w:hint="eastAsia" w:ascii="仿宋" w:hAnsi="仿宋" w:eastAsia="仿宋" w:cs="仿宋"/>
          <w:snapToGrid w:val="0"/>
          <w:kern w:val="0"/>
          <w:sz w:val="32"/>
          <w:szCs w:val="32"/>
        </w:rPr>
        <w:t>为降低安全风险，预防安全事故，本着“安全第一，预防为主”的原则，</w:t>
      </w:r>
      <w:r>
        <w:rPr>
          <w:rFonts w:hint="eastAsia" w:ascii="仿宋" w:hAnsi="仿宋" w:eastAsia="仿宋" w:cs="仿宋"/>
          <w:snapToGrid w:val="0"/>
          <w:kern w:val="0"/>
          <w:sz w:val="32"/>
          <w:szCs w:val="32"/>
          <w:lang w:val="en-US" w:eastAsia="zh-CN"/>
        </w:rPr>
        <w:t>同时根据国家法律法规要求对电梯做日常性维护保养。</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 w:hAnsi="仿宋" w:eastAsia="仿宋" w:cs="仿宋"/>
          <w:snapToGrid w:val="0"/>
          <w:color w:val="auto"/>
          <w:kern w:val="0"/>
          <w:sz w:val="32"/>
          <w:szCs w:val="32"/>
          <w:highlight w:val="none"/>
          <w:lang w:val="en-US" w:eastAsia="zh-CN"/>
        </w:rPr>
      </w:pPr>
    </w:p>
    <w:p>
      <w:pPr>
        <w:pStyle w:val="9"/>
        <w:rPr>
          <w:rFonts w:hint="eastAsia"/>
        </w:rPr>
      </w:pPr>
    </w:p>
    <w:p>
      <w:pPr>
        <w:adjustRightInd w:val="0"/>
        <w:snapToGrid w:val="0"/>
        <w:spacing w:line="360" w:lineRule="auto"/>
        <w:ind w:firstLine="420" w:firstLineChars="200"/>
        <w:rPr>
          <w:rFonts w:hint="eastAsia" w:ascii="宋体" w:hAnsi="宋体" w:cs="宋体"/>
          <w:szCs w:val="21"/>
        </w:rPr>
      </w:pPr>
    </w:p>
    <w:p>
      <w:pPr>
        <w:pStyle w:val="4"/>
        <w:numPr>
          <w:ilvl w:val="0"/>
          <w:numId w:val="2"/>
        </w:numPr>
        <w:adjustRightInd w:val="0"/>
        <w:snapToGrid w:val="0"/>
        <w:spacing w:before="0" w:after="0" w:line="360" w:lineRule="auto"/>
        <w:ind w:left="-450"/>
        <w:rPr>
          <w:rFonts w:hint="eastAsia"/>
          <w:lang w:val="en-US" w:eastAsia="zh-CN"/>
        </w:rPr>
      </w:pPr>
      <w:r>
        <w:rPr>
          <w:rFonts w:hint="eastAsia" w:ascii="仿宋" w:hAnsi="仿宋" w:eastAsia="仿宋" w:cs="仿宋"/>
          <w:b/>
          <w:bCs/>
          <w:snapToGrid w:val="0"/>
          <w:color w:val="auto"/>
          <w:kern w:val="0"/>
          <w:sz w:val="32"/>
          <w:szCs w:val="32"/>
          <w:highlight w:val="none"/>
          <w:lang w:val="en-US" w:eastAsia="zh-CN" w:bidi="ar-SA"/>
        </w:rPr>
        <w:t>项目采购清单</w:t>
      </w:r>
    </w:p>
    <w:p>
      <w:pPr>
        <w:adjustRightInd w:val="0"/>
        <w:spacing w:line="300" w:lineRule="auto"/>
        <w:ind w:firstLine="640" w:firstLineChars="200"/>
        <w:rPr>
          <w:rFonts w:hint="default" w:ascii="仿宋" w:hAnsi="仿宋" w:eastAsia="仿宋" w:cs="仿宋"/>
          <w:snapToGrid w:val="0"/>
          <w:color w:val="auto"/>
          <w:kern w:val="0"/>
          <w:sz w:val="32"/>
          <w:szCs w:val="32"/>
          <w:lang w:val="en-US" w:eastAsia="zh-CN"/>
        </w:rPr>
      </w:pPr>
      <w:r>
        <w:rPr>
          <w:rFonts w:hint="eastAsia" w:ascii="仿宋" w:hAnsi="仿宋" w:eastAsia="仿宋" w:cs="仿宋"/>
          <w:snapToGrid w:val="0"/>
          <w:color w:val="auto"/>
          <w:kern w:val="0"/>
          <w:sz w:val="32"/>
          <w:szCs w:val="32"/>
          <w:lang w:val="en-US" w:eastAsia="zh-CN"/>
        </w:rPr>
        <w:t>15台电梯维护保养，清单如下：</w:t>
      </w:r>
    </w:p>
    <w:tbl>
      <w:tblPr>
        <w:tblStyle w:val="19"/>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64"/>
        <w:gridCol w:w="1594"/>
        <w:gridCol w:w="1994"/>
        <w:gridCol w:w="1910"/>
        <w:gridCol w:w="79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序号</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梯种</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电梯品牌规格型号</w:t>
            </w:r>
          </w:p>
        </w:tc>
        <w:tc>
          <w:tcPr>
            <w:tcW w:w="19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主要技术参数</w:t>
            </w:r>
          </w:p>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（层）</w:t>
            </w:r>
          </w:p>
        </w:tc>
        <w:tc>
          <w:tcPr>
            <w:tcW w:w="19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电梯编号</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数量</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客梯</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迅达</w:t>
            </w:r>
          </w:p>
        </w:tc>
        <w:tc>
          <w:tcPr>
            <w:tcW w:w="199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28</w:t>
            </w:r>
          </w:p>
        </w:tc>
        <w:tc>
          <w:tcPr>
            <w:tcW w:w="1910"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11520182</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default"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2</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客梯</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迅达</w:t>
            </w:r>
          </w:p>
        </w:tc>
        <w:tc>
          <w:tcPr>
            <w:tcW w:w="199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7</w:t>
            </w:r>
          </w:p>
        </w:tc>
        <w:tc>
          <w:tcPr>
            <w:tcW w:w="1910"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11520186</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3</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客梯</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迅达</w:t>
            </w:r>
          </w:p>
        </w:tc>
        <w:tc>
          <w:tcPr>
            <w:tcW w:w="199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7</w:t>
            </w:r>
          </w:p>
        </w:tc>
        <w:tc>
          <w:tcPr>
            <w:tcW w:w="1910"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11520183</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4</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客梯</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迅达</w:t>
            </w:r>
          </w:p>
        </w:tc>
        <w:tc>
          <w:tcPr>
            <w:tcW w:w="199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6</w:t>
            </w:r>
          </w:p>
        </w:tc>
        <w:tc>
          <w:tcPr>
            <w:tcW w:w="1910"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11520184</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default"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5</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客梯</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迅达</w:t>
            </w:r>
          </w:p>
        </w:tc>
        <w:tc>
          <w:tcPr>
            <w:tcW w:w="199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8</w:t>
            </w:r>
          </w:p>
        </w:tc>
        <w:tc>
          <w:tcPr>
            <w:tcW w:w="1910"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11520179</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default"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6</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客梯</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迅达</w:t>
            </w:r>
          </w:p>
        </w:tc>
        <w:tc>
          <w:tcPr>
            <w:tcW w:w="199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8</w:t>
            </w:r>
          </w:p>
        </w:tc>
        <w:tc>
          <w:tcPr>
            <w:tcW w:w="1910"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11520180</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default"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7</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客梯</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迅达</w:t>
            </w:r>
          </w:p>
        </w:tc>
        <w:tc>
          <w:tcPr>
            <w:tcW w:w="199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6</w:t>
            </w:r>
          </w:p>
        </w:tc>
        <w:tc>
          <w:tcPr>
            <w:tcW w:w="1910"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11520181</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default"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8</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客梯</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迅达</w:t>
            </w:r>
          </w:p>
        </w:tc>
        <w:tc>
          <w:tcPr>
            <w:tcW w:w="199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6</w:t>
            </w:r>
          </w:p>
        </w:tc>
        <w:tc>
          <w:tcPr>
            <w:tcW w:w="1910"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11520185</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default"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9</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客梯</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迅达</w:t>
            </w:r>
          </w:p>
        </w:tc>
        <w:tc>
          <w:tcPr>
            <w:tcW w:w="199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7</w:t>
            </w:r>
          </w:p>
        </w:tc>
        <w:tc>
          <w:tcPr>
            <w:tcW w:w="1910"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11520187</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default"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10</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客梯</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迅达</w:t>
            </w:r>
          </w:p>
        </w:tc>
        <w:tc>
          <w:tcPr>
            <w:tcW w:w="199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2</w:t>
            </w:r>
          </w:p>
        </w:tc>
        <w:tc>
          <w:tcPr>
            <w:tcW w:w="1910"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11520188</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default"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11</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客梯</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迅达</w:t>
            </w:r>
          </w:p>
        </w:tc>
        <w:tc>
          <w:tcPr>
            <w:tcW w:w="199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2</w:t>
            </w:r>
          </w:p>
        </w:tc>
        <w:tc>
          <w:tcPr>
            <w:tcW w:w="1910"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11520189</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default"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12</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客梯</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迅达</w:t>
            </w:r>
          </w:p>
        </w:tc>
        <w:tc>
          <w:tcPr>
            <w:tcW w:w="199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23</w:t>
            </w:r>
          </w:p>
        </w:tc>
        <w:tc>
          <w:tcPr>
            <w:tcW w:w="1910"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11520175</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default"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13</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客梯</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迅达</w:t>
            </w:r>
          </w:p>
        </w:tc>
        <w:tc>
          <w:tcPr>
            <w:tcW w:w="199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23</w:t>
            </w:r>
          </w:p>
        </w:tc>
        <w:tc>
          <w:tcPr>
            <w:tcW w:w="1910"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11520177</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default"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14</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客梯</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迅达</w:t>
            </w:r>
          </w:p>
        </w:tc>
        <w:tc>
          <w:tcPr>
            <w:tcW w:w="199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21</w:t>
            </w:r>
          </w:p>
        </w:tc>
        <w:tc>
          <w:tcPr>
            <w:tcW w:w="1910"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11520178</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default"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15</w:t>
            </w:r>
          </w:p>
        </w:tc>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客梯</w:t>
            </w:r>
          </w:p>
        </w:tc>
        <w:tc>
          <w:tcPr>
            <w:tcW w:w="1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right="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迅达</w:t>
            </w:r>
          </w:p>
        </w:tc>
        <w:tc>
          <w:tcPr>
            <w:tcW w:w="1994"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8</w:t>
            </w:r>
          </w:p>
        </w:tc>
        <w:tc>
          <w:tcPr>
            <w:tcW w:w="1910" w:type="dxa"/>
            <w:noWrap w:val="0"/>
            <w:vAlign w:val="center"/>
          </w:tcPr>
          <w:p>
            <w:pPr>
              <w:pStyle w:val="40"/>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11520190</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r>
              <w:rPr>
                <w:rFonts w:hint="eastAsia" w:ascii="仿宋" w:hAnsi="仿宋" w:eastAsia="仿宋" w:cs="仿宋"/>
                <w:snapToGrid w:val="0"/>
                <w:color w:val="auto"/>
                <w:kern w:val="0"/>
                <w:sz w:val="28"/>
                <w:szCs w:val="28"/>
                <w:lang w:val="en-US" w:eastAsia="zh-CN"/>
              </w:rPr>
              <w:t>1</w:t>
            </w:r>
          </w:p>
        </w:tc>
        <w:tc>
          <w:tcPr>
            <w:tcW w:w="1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仿宋" w:hAnsi="仿宋" w:eastAsia="仿宋" w:cs="仿宋"/>
                <w:snapToGrid w:val="0"/>
                <w:color w:val="auto"/>
                <w:kern w:val="0"/>
                <w:sz w:val="28"/>
                <w:szCs w:val="28"/>
                <w:lang w:val="en-US" w:eastAsia="zh-CN"/>
              </w:rPr>
            </w:pPr>
          </w:p>
        </w:tc>
      </w:tr>
    </w:tbl>
    <w:p>
      <w:pPr>
        <w:pStyle w:val="4"/>
        <w:numPr>
          <w:ilvl w:val="0"/>
          <w:numId w:val="2"/>
        </w:numPr>
        <w:adjustRightInd w:val="0"/>
        <w:snapToGrid w:val="0"/>
        <w:spacing w:before="0" w:after="0" w:line="360" w:lineRule="auto"/>
        <w:ind w:left="-450"/>
        <w:rPr>
          <w:rFonts w:hint="eastAsia"/>
          <w:lang w:val="en-US" w:eastAsia="zh-CN"/>
        </w:rPr>
      </w:pPr>
      <w:r>
        <w:rPr>
          <w:rFonts w:hint="eastAsia"/>
          <w:lang w:val="en-US" w:eastAsia="zh-CN"/>
        </w:rPr>
        <w:t>服务内容与标准</w:t>
      </w:r>
    </w:p>
    <w:p>
      <w:pPr>
        <w:bidi w:val="0"/>
        <w:spacing w:line="360" w:lineRule="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提供</w:t>
      </w:r>
      <w:r>
        <w:rPr>
          <w:rFonts w:hint="eastAsia" w:ascii="宋体" w:hAnsi="宋体" w:eastAsia="宋体" w:cs="宋体"/>
          <w:color w:val="000000"/>
          <w:kern w:val="0"/>
          <w:sz w:val="24"/>
          <w:szCs w:val="24"/>
        </w:rPr>
        <w:t>电梯日常的维护、保养和抢修服务</w:t>
      </w:r>
      <w:r>
        <w:rPr>
          <w:rFonts w:hint="eastAsia" w:ascii="宋体" w:hAnsi="宋体" w:cs="宋体"/>
          <w:color w:val="000000"/>
          <w:kern w:val="0"/>
          <w:sz w:val="24"/>
          <w:szCs w:val="24"/>
          <w:lang w:eastAsia="zh-CN"/>
        </w:rPr>
        <w:t>：</w:t>
      </w:r>
    </w:p>
    <w:p>
      <w:pPr>
        <w:bidi w:val="0"/>
        <w:spacing w:line="360" w:lineRule="auto"/>
        <w:ind w:firstLine="420" w:firstLineChars="0"/>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中标供应商</w:t>
      </w:r>
      <w:r>
        <w:rPr>
          <w:rFonts w:hint="eastAsia" w:ascii="宋体" w:hAnsi="宋体" w:eastAsia="宋体" w:cs="宋体"/>
          <w:color w:val="000000"/>
          <w:kern w:val="0"/>
          <w:sz w:val="24"/>
          <w:szCs w:val="24"/>
          <w:lang w:val="en-US" w:eastAsia="zh-CN"/>
        </w:rPr>
        <w:t>应当按照《电梯使用管理与维护保养规则》完成半月、季度、半年、年保养项目，并做好维护保养记录。</w:t>
      </w:r>
    </w:p>
    <w:p>
      <w:pPr>
        <w:bidi w:val="0"/>
        <w:spacing w:line="360" w:lineRule="auto"/>
        <w:ind w:firstLine="420"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实施日常维护保养后的电梯应当符合《电梯维修规范》（GB/T18775）、《电梯制造与安装安全规范》（GB 7588）和《自动扶梯和自动人行道的制造与安装安全规范》（GB 16899）的相关规定。</w:t>
      </w:r>
    </w:p>
    <w:p>
      <w:pPr>
        <w:bidi w:val="0"/>
        <w:spacing w:line="360" w:lineRule="auto"/>
        <w:ind w:firstLine="420"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提供维保所需工具和劳务，并免费提供单价在人民币 200 元以下（含本数）电梯零部件。</w:t>
      </w:r>
    </w:p>
    <w:p>
      <w:pPr>
        <w:bidi w:val="0"/>
        <w:spacing w:line="360" w:lineRule="auto"/>
        <w:ind w:firstLine="420" w:firstLineChars="0"/>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highlight w:val="none"/>
          <w:lang w:val="en-US" w:eastAsia="zh-CN"/>
        </w:rPr>
        <w:t>提供</w:t>
      </w:r>
      <w:r>
        <w:rPr>
          <w:rFonts w:hint="eastAsia" w:ascii="宋体" w:hAnsi="宋体" w:cs="宋体"/>
          <w:sz w:val="24"/>
          <w:szCs w:val="24"/>
          <w:highlight w:val="none"/>
          <w:lang w:val="en-US" w:eastAsia="zh-CN"/>
        </w:rPr>
        <w:t>1人现场</w:t>
      </w:r>
      <w:r>
        <w:rPr>
          <w:rFonts w:hint="eastAsia" w:ascii="宋体" w:hAnsi="宋体" w:eastAsia="宋体" w:cs="宋体"/>
          <w:sz w:val="24"/>
          <w:szCs w:val="24"/>
          <w:highlight w:val="none"/>
          <w:lang w:val="en-US" w:eastAsia="zh-CN"/>
        </w:rPr>
        <w:t>驻场</w:t>
      </w:r>
      <w:r>
        <w:rPr>
          <w:rFonts w:hint="eastAsia" w:ascii="宋体" w:hAnsi="宋体" w:eastAsia="宋体" w:cs="宋体"/>
          <w:sz w:val="24"/>
          <w:szCs w:val="24"/>
          <w:highlight w:val="none"/>
          <w:u w:val="none"/>
          <w:lang w:val="en-US" w:eastAsia="zh-CN"/>
        </w:rPr>
        <w:t>。</w:t>
      </w:r>
    </w:p>
    <w:p>
      <w:pPr>
        <w:pStyle w:val="4"/>
        <w:numPr>
          <w:ilvl w:val="0"/>
          <w:numId w:val="2"/>
        </w:numPr>
        <w:adjustRightInd w:val="0"/>
        <w:snapToGrid w:val="0"/>
        <w:spacing w:before="0" w:after="0" w:line="360" w:lineRule="auto"/>
        <w:ind w:left="-450"/>
        <w:rPr>
          <w:rFonts w:hint="eastAsia"/>
          <w:lang w:val="en-US" w:eastAsia="zh-CN"/>
        </w:rPr>
      </w:pPr>
      <w:r>
        <w:rPr>
          <w:rFonts w:hint="eastAsia"/>
          <w:lang w:val="en-US" w:eastAsia="zh-CN"/>
        </w:rPr>
        <w:t>服务期限</w:t>
      </w:r>
    </w:p>
    <w:p>
      <w:pPr>
        <w:adjustRightInd w:val="0"/>
        <w:spacing w:line="360" w:lineRule="auto"/>
        <w:ind w:firstLine="640" w:firstLineChars="200"/>
        <w:rPr>
          <w:rFonts w:hint="eastAsia" w:ascii="仿宋" w:hAnsi="仿宋" w:eastAsia="仿宋" w:cs="仿宋"/>
          <w:snapToGrid w:val="0"/>
          <w:kern w:val="0"/>
          <w:sz w:val="32"/>
          <w:szCs w:val="32"/>
          <w:lang w:val="en-US" w:eastAsia="zh-CN"/>
        </w:rPr>
      </w:pPr>
      <w:r>
        <w:rPr>
          <w:rFonts w:hint="eastAsia" w:ascii="仿宋" w:hAnsi="仿宋" w:eastAsia="仿宋" w:cs="仿宋"/>
          <w:snapToGrid w:val="0"/>
          <w:kern w:val="0"/>
          <w:sz w:val="32"/>
          <w:szCs w:val="32"/>
          <w:lang w:val="en-US" w:eastAsia="zh-CN"/>
        </w:rPr>
        <w:t>本项目服务期限自合同签订之日起1年。</w:t>
      </w:r>
    </w:p>
    <w:p>
      <w:pPr>
        <w:pStyle w:val="9"/>
        <w:rPr>
          <w:rFonts w:hint="eastAsia"/>
        </w:rPr>
      </w:pPr>
    </w:p>
    <w:p>
      <w:pPr>
        <w:widowControl/>
        <w:jc w:val="center"/>
        <w:rPr>
          <w:rFonts w:ascii="黑体" w:hAnsi="黑体" w:eastAsia="黑体" w:cs="黑体"/>
          <w:b/>
          <w:bCs/>
          <w:color w:val="000000"/>
          <w:sz w:val="44"/>
          <w:szCs w:val="44"/>
        </w:rPr>
      </w:pPr>
      <w:r>
        <w:rPr>
          <w:rFonts w:hint="eastAsia" w:ascii="黑体" w:hAnsi="黑体" w:eastAsia="黑体" w:cs="黑体"/>
          <w:b/>
          <w:bCs/>
          <w:color w:val="000000"/>
          <w:sz w:val="44"/>
          <w:szCs w:val="44"/>
        </w:rPr>
        <w:t>三、开标和评标</w:t>
      </w:r>
    </w:p>
    <w:p>
      <w:pPr>
        <w:adjustRightInd w:val="0"/>
        <w:spacing w:line="300" w:lineRule="auto"/>
        <w:rPr>
          <w:rFonts w:ascii="仿宋" w:hAnsi="仿宋" w:eastAsia="仿宋" w:cs="仿宋"/>
          <w:b/>
          <w:snapToGrid w:val="0"/>
          <w:kern w:val="0"/>
          <w:sz w:val="32"/>
          <w:szCs w:val="32"/>
        </w:rPr>
      </w:pPr>
      <w:bookmarkStart w:id="0" w:name="q9"/>
      <w:bookmarkEnd w:id="0"/>
      <w:r>
        <w:rPr>
          <w:rFonts w:hint="eastAsia" w:ascii="仿宋" w:hAnsi="仿宋" w:eastAsia="仿宋" w:cs="仿宋"/>
          <w:b/>
          <w:snapToGrid w:val="0"/>
          <w:kern w:val="0"/>
          <w:sz w:val="32"/>
          <w:szCs w:val="32"/>
        </w:rPr>
        <w:t xml:space="preserve"> </w:t>
      </w:r>
    </w:p>
    <w:p>
      <w:pPr>
        <w:adjustRightInd w:val="0"/>
        <w:spacing w:line="300" w:lineRule="auto"/>
        <w:rPr>
          <w:rFonts w:hint="eastAsia" w:ascii="仿宋" w:hAnsi="仿宋" w:eastAsia="仿宋" w:cs="仿宋"/>
          <w:b/>
          <w:snapToGrid w:val="0"/>
          <w:color w:val="auto"/>
          <w:kern w:val="0"/>
          <w:sz w:val="32"/>
          <w:szCs w:val="32"/>
        </w:rPr>
      </w:pPr>
      <w:r>
        <w:rPr>
          <w:rFonts w:hint="eastAsia" w:ascii="仿宋" w:hAnsi="仿宋" w:eastAsia="仿宋" w:cs="仿宋"/>
          <w:b/>
          <w:snapToGrid w:val="0"/>
          <w:color w:val="auto"/>
          <w:kern w:val="0"/>
          <w:sz w:val="32"/>
          <w:szCs w:val="32"/>
        </w:rPr>
        <w:t>（一）开标</w:t>
      </w:r>
    </w:p>
    <w:p>
      <w:pPr>
        <w:adjustRightInd w:val="0"/>
        <w:spacing w:line="300" w:lineRule="auto"/>
        <w:ind w:firstLine="640" w:firstLineChars="200"/>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1.招标人在前附表第12、13项规定的时间和地点公开开标。</w:t>
      </w:r>
    </w:p>
    <w:p>
      <w:pPr>
        <w:adjustRightInd w:val="0"/>
        <w:spacing w:line="300" w:lineRule="auto"/>
        <w:ind w:firstLine="640" w:firstLineChars="200"/>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lang w:val="en-US" w:eastAsia="zh-CN"/>
        </w:rPr>
        <w:t>2</w:t>
      </w:r>
      <w:r>
        <w:rPr>
          <w:rFonts w:hint="eastAsia" w:ascii="仿宋" w:hAnsi="仿宋" w:eastAsia="仿宋" w:cs="仿宋"/>
          <w:snapToGrid w:val="0"/>
          <w:color w:val="auto"/>
          <w:kern w:val="0"/>
          <w:sz w:val="32"/>
          <w:szCs w:val="32"/>
        </w:rPr>
        <w:t>.开标时，招标人将检查投标文件的密封情况，在确认无误后拆封</w:t>
      </w:r>
      <w:r>
        <w:rPr>
          <w:rFonts w:hint="eastAsia" w:ascii="仿宋" w:hAnsi="仿宋" w:eastAsia="仿宋" w:cs="仿宋"/>
          <w:snapToGrid w:val="0"/>
          <w:color w:val="auto"/>
          <w:kern w:val="0"/>
          <w:sz w:val="32"/>
          <w:szCs w:val="32"/>
          <w:lang w:val="en-US" w:eastAsia="zh-CN"/>
        </w:rPr>
        <w:t>评</w:t>
      </w:r>
      <w:r>
        <w:rPr>
          <w:rFonts w:hint="eastAsia" w:ascii="仿宋" w:hAnsi="仿宋" w:eastAsia="仿宋" w:cs="仿宋"/>
          <w:snapToGrid w:val="0"/>
          <w:color w:val="auto"/>
          <w:kern w:val="0"/>
          <w:sz w:val="32"/>
          <w:szCs w:val="32"/>
        </w:rPr>
        <w:t>标。</w:t>
      </w:r>
    </w:p>
    <w:p>
      <w:pPr>
        <w:pStyle w:val="25"/>
        <w:numPr>
          <w:ilvl w:val="0"/>
          <w:numId w:val="3"/>
        </w:numPr>
        <w:adjustRightInd w:val="0"/>
        <w:spacing w:line="300" w:lineRule="auto"/>
        <w:ind w:firstLineChars="0"/>
        <w:rPr>
          <w:rFonts w:hint="eastAsia" w:ascii="仿宋" w:hAnsi="仿宋" w:eastAsia="仿宋" w:cs="仿宋"/>
          <w:b/>
          <w:snapToGrid w:val="0"/>
          <w:color w:val="auto"/>
          <w:kern w:val="0"/>
          <w:sz w:val="32"/>
          <w:szCs w:val="32"/>
        </w:rPr>
      </w:pPr>
      <w:r>
        <w:rPr>
          <w:rFonts w:hint="eastAsia" w:ascii="仿宋" w:hAnsi="仿宋" w:eastAsia="仿宋" w:cs="仿宋"/>
          <w:b/>
          <w:snapToGrid w:val="0"/>
          <w:color w:val="auto"/>
          <w:kern w:val="0"/>
          <w:sz w:val="32"/>
          <w:szCs w:val="32"/>
        </w:rPr>
        <w:t>评标委员会</w:t>
      </w:r>
    </w:p>
    <w:p>
      <w:pPr>
        <w:adjustRightInd w:val="0"/>
        <w:spacing w:line="300" w:lineRule="auto"/>
        <w:ind w:firstLine="640" w:firstLineChars="200"/>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1.招标人将根据招标项目的特点组建评标委员会，其成员由采购方</w:t>
      </w:r>
      <w:r>
        <w:rPr>
          <w:rFonts w:hint="eastAsia" w:ascii="仿宋" w:hAnsi="仿宋" w:eastAsia="仿宋" w:cs="仿宋"/>
          <w:snapToGrid w:val="0"/>
          <w:color w:val="auto"/>
          <w:kern w:val="0"/>
          <w:sz w:val="32"/>
          <w:szCs w:val="32"/>
          <w:lang w:val="en-US" w:eastAsia="zh-CN"/>
        </w:rPr>
        <w:t>评标评委</w:t>
      </w:r>
      <w:r>
        <w:rPr>
          <w:rFonts w:hint="eastAsia" w:ascii="仿宋" w:hAnsi="仿宋" w:eastAsia="仿宋" w:cs="仿宋"/>
          <w:snapToGrid w:val="0"/>
          <w:color w:val="auto"/>
          <w:kern w:val="0"/>
          <w:sz w:val="32"/>
          <w:szCs w:val="32"/>
        </w:rPr>
        <w:t>组成。评标委员会对投标文件进行审查、质疑、评估和比较。</w:t>
      </w:r>
    </w:p>
    <w:p>
      <w:pPr>
        <w:adjustRightInd w:val="0"/>
        <w:spacing w:line="300" w:lineRule="auto"/>
        <w:ind w:firstLine="640" w:firstLineChars="200"/>
        <w:rPr>
          <w:rFonts w:hint="eastAsia" w:ascii="仿宋" w:hAnsi="仿宋" w:eastAsia="仿宋" w:cs="仿宋"/>
          <w:b/>
          <w:snapToGrid w:val="0"/>
          <w:color w:val="auto"/>
          <w:kern w:val="0"/>
          <w:sz w:val="32"/>
          <w:szCs w:val="32"/>
          <w:highlight w:val="none"/>
        </w:rPr>
      </w:pPr>
      <w:r>
        <w:rPr>
          <w:rFonts w:hint="eastAsia" w:ascii="仿宋" w:hAnsi="仿宋" w:eastAsia="仿宋" w:cs="仿宋"/>
          <w:snapToGrid w:val="0"/>
          <w:color w:val="auto"/>
          <w:kern w:val="0"/>
          <w:sz w:val="32"/>
          <w:szCs w:val="32"/>
          <w:highlight w:val="none"/>
        </w:rPr>
        <w:t>2.评标期间，投标人应由法人代表或其授权代表参加询标。</w:t>
      </w:r>
    </w:p>
    <w:p>
      <w:pPr>
        <w:pStyle w:val="25"/>
        <w:widowControl/>
        <w:numPr>
          <w:ilvl w:val="0"/>
          <w:numId w:val="3"/>
        </w:numPr>
        <w:ind w:firstLineChars="0"/>
        <w:jc w:val="left"/>
        <w:rPr>
          <w:rFonts w:hint="eastAsia" w:ascii="仿宋" w:hAnsi="仿宋" w:eastAsia="仿宋" w:cs="仿宋"/>
          <w:b/>
          <w:snapToGrid w:val="0"/>
          <w:color w:val="auto"/>
          <w:kern w:val="0"/>
          <w:sz w:val="32"/>
          <w:szCs w:val="32"/>
        </w:rPr>
      </w:pPr>
      <w:r>
        <w:rPr>
          <w:rFonts w:hint="eastAsia" w:ascii="仿宋" w:hAnsi="仿宋" w:eastAsia="仿宋" w:cs="仿宋"/>
          <w:b/>
          <w:snapToGrid w:val="0"/>
          <w:color w:val="auto"/>
          <w:kern w:val="0"/>
          <w:sz w:val="32"/>
          <w:szCs w:val="32"/>
        </w:rPr>
        <w:t>竞标程序</w:t>
      </w:r>
    </w:p>
    <w:p>
      <w:pPr>
        <w:adjustRightInd w:val="0"/>
        <w:spacing w:line="300" w:lineRule="auto"/>
        <w:ind w:firstLine="640" w:firstLineChars="200"/>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1.投标人须自行下载此项目招标书；</w:t>
      </w:r>
    </w:p>
    <w:p>
      <w:pPr>
        <w:adjustRightInd w:val="0"/>
        <w:spacing w:line="300" w:lineRule="auto"/>
        <w:ind w:firstLine="640" w:firstLineChars="200"/>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2.投标人编写投标书，并将标书和各种资质证书复印件，按规定的时间交本单位指定地点；</w:t>
      </w:r>
    </w:p>
    <w:p>
      <w:pPr>
        <w:adjustRightInd w:val="0"/>
        <w:spacing w:line="300" w:lineRule="auto"/>
        <w:ind w:firstLine="640" w:firstLineChars="200"/>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3.</w:t>
      </w:r>
      <w:r>
        <w:rPr>
          <w:rFonts w:hint="eastAsia" w:ascii="仿宋" w:hAnsi="仿宋" w:eastAsia="仿宋" w:cs="仿宋"/>
          <w:snapToGrid w:val="0"/>
          <w:color w:val="auto"/>
          <w:kern w:val="0"/>
          <w:sz w:val="32"/>
          <w:szCs w:val="32"/>
          <w:lang w:val="en-US" w:eastAsia="zh-CN"/>
        </w:rPr>
        <w:t>招标单位</w:t>
      </w:r>
      <w:r>
        <w:rPr>
          <w:rFonts w:hint="eastAsia" w:ascii="仿宋" w:hAnsi="仿宋" w:eastAsia="仿宋" w:cs="仿宋"/>
          <w:snapToGrid w:val="0"/>
          <w:color w:val="auto"/>
          <w:kern w:val="0"/>
          <w:sz w:val="32"/>
          <w:szCs w:val="32"/>
        </w:rPr>
        <w:t>组成评委会，利用综合评分评标法对每个投标人现场打分，并进行排名；</w:t>
      </w:r>
    </w:p>
    <w:p>
      <w:pPr>
        <w:adjustRightInd w:val="0"/>
        <w:spacing w:line="300" w:lineRule="auto"/>
        <w:ind w:firstLine="640" w:firstLineChars="200"/>
        <w:rPr>
          <w:rFonts w:hint="eastAsia" w:ascii="仿宋" w:hAnsi="仿宋" w:eastAsia="仿宋" w:cs="仿宋"/>
          <w:color w:val="auto"/>
          <w:sz w:val="32"/>
          <w:szCs w:val="32"/>
        </w:rPr>
      </w:pPr>
      <w:r>
        <w:rPr>
          <w:rFonts w:hint="eastAsia" w:ascii="仿宋" w:hAnsi="仿宋" w:eastAsia="仿宋" w:cs="仿宋"/>
          <w:snapToGrid w:val="0"/>
          <w:color w:val="auto"/>
          <w:kern w:val="0"/>
          <w:sz w:val="32"/>
          <w:szCs w:val="32"/>
        </w:rPr>
        <w:t>4.评委会将评标结果报</w:t>
      </w:r>
      <w:r>
        <w:rPr>
          <w:rFonts w:hint="eastAsia" w:ascii="仿宋" w:hAnsi="仿宋" w:eastAsia="仿宋" w:cs="仿宋"/>
          <w:snapToGrid w:val="0"/>
          <w:color w:val="auto"/>
          <w:kern w:val="0"/>
          <w:sz w:val="32"/>
          <w:szCs w:val="32"/>
          <w:lang w:val="en-US" w:eastAsia="zh-CN"/>
        </w:rPr>
        <w:t>招标单位</w:t>
      </w:r>
      <w:r>
        <w:rPr>
          <w:rFonts w:hint="eastAsia" w:ascii="仿宋" w:hAnsi="仿宋" w:eastAsia="仿宋" w:cs="仿宋"/>
          <w:snapToGrid w:val="0"/>
          <w:color w:val="auto"/>
          <w:kern w:val="0"/>
          <w:sz w:val="32"/>
          <w:szCs w:val="32"/>
        </w:rPr>
        <w:t>领导后确定中</w:t>
      </w:r>
      <w:r>
        <w:rPr>
          <w:rFonts w:hint="eastAsia" w:ascii="仿宋" w:hAnsi="仿宋" w:eastAsia="仿宋" w:cs="仿宋"/>
          <w:color w:val="auto"/>
          <w:sz w:val="32"/>
          <w:szCs w:val="32"/>
        </w:rPr>
        <w:t>标单位。</w:t>
      </w:r>
    </w:p>
    <w:p>
      <w:pPr>
        <w:adjustRightInd w:val="0"/>
        <w:spacing w:line="300" w:lineRule="auto"/>
        <w:rPr>
          <w:rFonts w:hint="eastAsia" w:ascii="仿宋" w:hAnsi="仿宋" w:eastAsia="仿宋" w:cs="仿宋"/>
          <w:b/>
          <w:snapToGrid w:val="0"/>
          <w:color w:val="auto"/>
          <w:kern w:val="0"/>
          <w:sz w:val="32"/>
          <w:szCs w:val="32"/>
        </w:rPr>
      </w:pPr>
      <w:r>
        <w:rPr>
          <w:rFonts w:hint="eastAsia" w:ascii="仿宋" w:hAnsi="仿宋" w:eastAsia="仿宋" w:cs="仿宋"/>
          <w:b/>
          <w:snapToGrid w:val="0"/>
          <w:color w:val="auto"/>
          <w:kern w:val="0"/>
          <w:sz w:val="32"/>
          <w:szCs w:val="32"/>
        </w:rPr>
        <w:t>（四）中标通知</w:t>
      </w:r>
    </w:p>
    <w:p>
      <w:pPr>
        <w:adjustRightInd w:val="0"/>
        <w:spacing w:line="300" w:lineRule="auto"/>
        <w:ind w:firstLine="640" w:firstLineChars="200"/>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1.</w:t>
      </w:r>
      <w:r>
        <w:rPr>
          <w:rFonts w:hint="eastAsia" w:ascii="仿宋" w:hAnsi="仿宋" w:eastAsia="仿宋" w:cs="仿宋"/>
          <w:snapToGrid w:val="0"/>
          <w:kern w:val="0"/>
          <w:sz w:val="32"/>
          <w:szCs w:val="32"/>
        </w:rPr>
        <w:t>定标公示后3日，</w:t>
      </w:r>
      <w:r>
        <w:rPr>
          <w:rFonts w:hint="eastAsia" w:ascii="仿宋" w:hAnsi="仿宋" w:eastAsia="仿宋" w:cs="仿宋"/>
          <w:snapToGrid w:val="0"/>
          <w:kern w:val="0"/>
          <w:sz w:val="32"/>
          <w:szCs w:val="32"/>
          <w:lang w:val="en-US" w:eastAsia="zh-CN"/>
        </w:rPr>
        <w:t>如无异议</w:t>
      </w:r>
      <w:r>
        <w:rPr>
          <w:rFonts w:hint="eastAsia" w:ascii="仿宋" w:hAnsi="仿宋" w:eastAsia="仿宋" w:cs="仿宋"/>
          <w:snapToGrid w:val="0"/>
          <w:kern w:val="0"/>
          <w:sz w:val="32"/>
          <w:szCs w:val="32"/>
        </w:rPr>
        <w:t>由招标人签发《中标通知书》。</w:t>
      </w:r>
    </w:p>
    <w:p>
      <w:pPr>
        <w:adjustRightInd w:val="0"/>
        <w:spacing w:line="300" w:lineRule="auto"/>
        <w:ind w:firstLine="640" w:firstLineChars="200"/>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2.《中标通知书》将作为签订合同的重要依据。</w:t>
      </w:r>
    </w:p>
    <w:p>
      <w:pPr>
        <w:adjustRightInd w:val="0"/>
        <w:spacing w:line="300" w:lineRule="auto"/>
        <w:rPr>
          <w:rFonts w:hint="eastAsia" w:ascii="仿宋" w:hAnsi="仿宋" w:eastAsia="仿宋" w:cs="仿宋"/>
          <w:b/>
          <w:snapToGrid w:val="0"/>
          <w:color w:val="auto"/>
          <w:kern w:val="0"/>
          <w:sz w:val="32"/>
          <w:szCs w:val="32"/>
        </w:rPr>
      </w:pPr>
      <w:r>
        <w:rPr>
          <w:rFonts w:hint="eastAsia" w:ascii="仿宋" w:hAnsi="仿宋" w:eastAsia="仿宋" w:cs="仿宋"/>
          <w:b/>
          <w:snapToGrid w:val="0"/>
          <w:color w:val="auto"/>
          <w:kern w:val="0"/>
          <w:sz w:val="32"/>
          <w:szCs w:val="32"/>
        </w:rPr>
        <w:t>（五）签订合同</w:t>
      </w:r>
    </w:p>
    <w:p>
      <w:pPr>
        <w:adjustRightInd w:val="0"/>
        <w:spacing w:line="300" w:lineRule="auto"/>
        <w:ind w:firstLine="640" w:firstLineChars="200"/>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1.中标方应按《中标通知书》或按采购人指定的时间、地点与采购人签订合同。</w:t>
      </w:r>
    </w:p>
    <w:p>
      <w:pPr>
        <w:adjustRightInd w:val="0"/>
        <w:spacing w:line="300" w:lineRule="auto"/>
        <w:ind w:firstLine="640" w:firstLineChars="200"/>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2.招标文件、中标方的投标文件及其澄清文件等，均为签订合同的依据。</w:t>
      </w:r>
    </w:p>
    <w:p>
      <w:pPr>
        <w:tabs>
          <w:tab w:val="left" w:pos="312"/>
        </w:tabs>
        <w:adjustRightInd w:val="0"/>
        <w:snapToGrid w:val="0"/>
        <w:spacing w:line="360" w:lineRule="auto"/>
        <w:rPr>
          <w:rFonts w:ascii="宋体" w:hAnsi="宋体" w:cs="宋体"/>
          <w:b/>
          <w:bCs/>
          <w:sz w:val="24"/>
        </w:rPr>
      </w:pPr>
    </w:p>
    <w:p>
      <w:pPr>
        <w:pStyle w:val="10"/>
        <w:jc w:val="center"/>
        <w:rPr>
          <w:rFonts w:ascii="黑体" w:hAnsi="黑体" w:eastAsia="黑体" w:cs="黑体"/>
          <w:b/>
          <w:bCs/>
          <w:color w:val="000000"/>
          <w:sz w:val="44"/>
          <w:szCs w:val="44"/>
        </w:rPr>
      </w:pPr>
    </w:p>
    <w:p>
      <w:pPr>
        <w:pStyle w:val="10"/>
        <w:jc w:val="center"/>
        <w:rPr>
          <w:rFonts w:ascii="黑体" w:hAnsi="黑体" w:eastAsia="黑体" w:cs="黑体"/>
          <w:b/>
          <w:bCs/>
          <w:color w:val="000000"/>
          <w:sz w:val="44"/>
          <w:szCs w:val="44"/>
        </w:rPr>
      </w:pPr>
      <w:r>
        <w:rPr>
          <w:rFonts w:hint="eastAsia" w:ascii="黑体" w:hAnsi="黑体" w:eastAsia="黑体" w:cs="黑体"/>
          <w:b/>
          <w:bCs/>
          <w:color w:val="000000"/>
          <w:sz w:val="44"/>
          <w:szCs w:val="44"/>
        </w:rPr>
        <w:t>四、 评分细则</w:t>
      </w:r>
    </w:p>
    <w:p>
      <w:pPr>
        <w:adjustRightInd w:val="0"/>
        <w:snapToGrid w:val="0"/>
        <w:spacing w:line="300" w:lineRule="auto"/>
        <w:jc w:val="center"/>
        <w:rPr>
          <w:rFonts w:ascii="宋体" w:hAnsi="宋体" w:cs="宋体"/>
          <w:b/>
          <w:bCs/>
          <w:snapToGrid w:val="0"/>
          <w:kern w:val="0"/>
          <w:sz w:val="28"/>
          <w:szCs w:val="28"/>
        </w:rPr>
      </w:pPr>
    </w:p>
    <w:tbl>
      <w:tblPr>
        <w:tblStyle w:val="19"/>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936"/>
        <w:gridCol w:w="1276"/>
        <w:gridCol w:w="4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075" w:type="dxa"/>
            <w:gridSpan w:val="3"/>
          </w:tcPr>
          <w:p>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评分项</w:t>
            </w:r>
          </w:p>
        </w:tc>
        <w:tc>
          <w:tcPr>
            <w:tcW w:w="4025" w:type="dxa"/>
          </w:tcPr>
          <w:p>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75" w:type="dxa"/>
            <w:gridSpan w:val="3"/>
          </w:tcPr>
          <w:p>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一、价格部分</w:t>
            </w:r>
          </w:p>
        </w:tc>
        <w:tc>
          <w:tcPr>
            <w:tcW w:w="4025" w:type="dxa"/>
          </w:tcPr>
          <w:p>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63" w:type="dxa"/>
          </w:tcPr>
          <w:p>
            <w:pPr>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936" w:type="dxa"/>
          </w:tcPr>
          <w:p>
            <w:pPr>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评分因素及要求</w:t>
            </w:r>
          </w:p>
        </w:tc>
        <w:tc>
          <w:tcPr>
            <w:tcW w:w="1276" w:type="dxa"/>
          </w:tcPr>
          <w:p>
            <w:pPr>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权重</w:t>
            </w:r>
          </w:p>
        </w:tc>
        <w:tc>
          <w:tcPr>
            <w:tcW w:w="4025" w:type="dxa"/>
          </w:tcPr>
          <w:p>
            <w:pPr>
              <w:spacing w:line="360" w:lineRule="exact"/>
              <w:ind w:left="-21" w:leftChars="-10" w:firstLine="21" w:firstLineChars="10"/>
              <w:jc w:val="center"/>
              <w:rPr>
                <w:rFonts w:hint="eastAsia" w:ascii="宋体" w:hAnsi="宋体" w:eastAsia="宋体" w:cs="宋体"/>
                <w:b/>
                <w:bCs/>
                <w:sz w:val="21"/>
                <w:szCs w:val="21"/>
              </w:rPr>
            </w:pPr>
            <w:r>
              <w:rPr>
                <w:rFonts w:hint="eastAsia" w:ascii="宋体" w:hAnsi="宋体" w:eastAsia="宋体" w:cs="宋体"/>
                <w:b/>
                <w:bCs/>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863" w:type="dxa"/>
            <w:vAlign w:val="center"/>
          </w:tcPr>
          <w:p>
            <w:pPr>
              <w:spacing w:line="360" w:lineRule="exact"/>
              <w:jc w:val="center"/>
              <w:rPr>
                <w:rFonts w:hint="eastAsia" w:ascii="宋体" w:hAnsi="宋体" w:eastAsia="宋体" w:cs="宋体"/>
                <w:b/>
                <w:color w:val="FF0000"/>
                <w:sz w:val="21"/>
                <w:szCs w:val="21"/>
              </w:rPr>
            </w:pPr>
            <w:r>
              <w:rPr>
                <w:rFonts w:hint="eastAsia" w:ascii="宋体" w:hAnsi="宋体" w:eastAsia="宋体" w:cs="宋体"/>
                <w:sz w:val="21"/>
                <w:szCs w:val="21"/>
              </w:rPr>
              <w:t>1</w:t>
            </w:r>
          </w:p>
        </w:tc>
        <w:tc>
          <w:tcPr>
            <w:tcW w:w="2936" w:type="dxa"/>
            <w:vAlign w:val="center"/>
          </w:tcPr>
          <w:p>
            <w:pPr>
              <w:wordWrap w:val="0"/>
              <w:jc w:val="center"/>
              <w:rPr>
                <w:rFonts w:hint="eastAsia" w:ascii="宋体" w:hAnsi="宋体" w:eastAsia="宋体" w:cs="宋体"/>
                <w:sz w:val="21"/>
                <w:szCs w:val="21"/>
              </w:rPr>
            </w:pPr>
            <w:r>
              <w:rPr>
                <w:rFonts w:hint="eastAsia" w:ascii="宋体" w:hAnsi="宋体" w:eastAsia="宋体" w:cs="宋体"/>
                <w:sz w:val="21"/>
                <w:szCs w:val="21"/>
              </w:rPr>
              <w:t>符合招标控制金额范围内</w:t>
            </w:r>
          </w:p>
        </w:tc>
        <w:tc>
          <w:tcPr>
            <w:tcW w:w="1276" w:type="dxa"/>
            <w:vAlign w:val="center"/>
          </w:tcPr>
          <w:p>
            <w:pPr>
              <w:wordWrap w:val="0"/>
              <w:jc w:val="center"/>
              <w:rPr>
                <w:rFonts w:hint="eastAsia" w:ascii="宋体" w:hAnsi="宋体" w:eastAsia="宋体" w:cs="宋体"/>
                <w:sz w:val="21"/>
                <w:szCs w:val="21"/>
              </w:rPr>
            </w:pPr>
            <w:r>
              <w:rPr>
                <w:rFonts w:hint="eastAsia" w:ascii="宋体" w:hAnsi="宋体" w:eastAsia="宋体" w:cs="宋体"/>
                <w:sz w:val="21"/>
                <w:szCs w:val="21"/>
              </w:rPr>
              <w:t>30</w:t>
            </w:r>
          </w:p>
        </w:tc>
        <w:tc>
          <w:tcPr>
            <w:tcW w:w="4025" w:type="dxa"/>
            <w:vAlign w:val="center"/>
          </w:tcPr>
          <w:p>
            <w:pPr>
              <w:wordWrap w:val="0"/>
              <w:jc w:val="left"/>
              <w:rPr>
                <w:rFonts w:hint="eastAsia" w:ascii="宋体" w:hAnsi="宋体" w:eastAsia="宋体" w:cs="宋体"/>
                <w:sz w:val="21"/>
                <w:szCs w:val="21"/>
              </w:rPr>
            </w:pPr>
            <w:r>
              <w:rPr>
                <w:rFonts w:hint="eastAsia" w:ascii="宋体" w:hAnsi="宋体" w:eastAsia="宋体" w:cs="宋体"/>
                <w:sz w:val="21"/>
                <w:szCs w:val="21"/>
              </w:rPr>
              <w:t>采用低价优先法计算，即满足招标文件要求且投标价格最低的投标报价为评标基准价，其价格分为满分。其他投标人的价格分统一按照下列公式计算：</w:t>
            </w:r>
          </w:p>
          <w:p>
            <w:pPr>
              <w:wordWrap w:val="0"/>
              <w:jc w:val="left"/>
              <w:rPr>
                <w:rFonts w:hint="eastAsia" w:ascii="宋体" w:hAnsi="宋体" w:eastAsia="宋体" w:cs="宋体"/>
                <w:sz w:val="21"/>
                <w:szCs w:val="21"/>
              </w:rPr>
            </w:pPr>
            <w:r>
              <w:rPr>
                <w:rFonts w:hint="eastAsia" w:ascii="宋体" w:hAnsi="宋体" w:eastAsia="宋体" w:cs="宋体"/>
                <w:sz w:val="21"/>
                <w:szCs w:val="21"/>
              </w:rPr>
              <w:t>投标报价得分=</w:t>
            </w:r>
            <w:r>
              <w:rPr>
                <w:rFonts w:hint="eastAsia" w:ascii="宋体" w:hAnsi="宋体" w:eastAsia="宋体" w:cs="宋体"/>
                <w:sz w:val="21"/>
                <w:szCs w:val="21"/>
                <w:lang w:val="zh-CN"/>
              </w:rPr>
              <w:t>（</w:t>
            </w:r>
            <w:r>
              <w:rPr>
                <w:rFonts w:hint="eastAsia" w:ascii="宋体" w:hAnsi="宋体" w:eastAsia="宋体" w:cs="宋体"/>
                <w:sz w:val="21"/>
                <w:szCs w:val="21"/>
              </w:rPr>
              <w:t>投标基准价/投标报价）*权重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075" w:type="dxa"/>
            <w:gridSpan w:val="3"/>
            <w:vAlign w:val="center"/>
          </w:tcPr>
          <w:p>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二、商务部分</w:t>
            </w:r>
          </w:p>
        </w:tc>
        <w:tc>
          <w:tcPr>
            <w:tcW w:w="4025" w:type="dxa"/>
            <w:vAlign w:val="center"/>
          </w:tcPr>
          <w:p>
            <w:pPr>
              <w:spacing w:line="360" w:lineRule="exact"/>
              <w:jc w:val="center"/>
              <w:rPr>
                <w:rFonts w:hint="eastAsia" w:ascii="宋体" w:hAnsi="宋体" w:eastAsia="宋体" w:cs="宋体"/>
                <w:b/>
                <w:sz w:val="21"/>
                <w:szCs w:val="21"/>
              </w:rPr>
            </w:pPr>
            <w:r>
              <w:rPr>
                <w:rFonts w:hint="eastAsia" w:ascii="宋体" w:hAnsi="宋体" w:cs="宋体"/>
                <w:b/>
                <w:sz w:val="21"/>
                <w:szCs w:val="21"/>
                <w:lang w:val="en-US" w:eastAsia="zh-CN"/>
              </w:rPr>
              <w:t>3</w:t>
            </w:r>
            <w:r>
              <w:rPr>
                <w:rFonts w:hint="eastAsia" w:ascii="宋体" w:hAnsi="宋体" w:eastAsia="宋体" w:cs="宋体"/>
                <w:b/>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63" w:type="dxa"/>
          </w:tcPr>
          <w:p>
            <w:pPr>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936" w:type="dxa"/>
            <w:vAlign w:val="center"/>
          </w:tcPr>
          <w:p>
            <w:pPr>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评分因素及要求</w:t>
            </w:r>
          </w:p>
        </w:tc>
        <w:tc>
          <w:tcPr>
            <w:tcW w:w="1276" w:type="dxa"/>
            <w:vAlign w:val="center"/>
          </w:tcPr>
          <w:p>
            <w:pPr>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权重</w:t>
            </w:r>
          </w:p>
        </w:tc>
        <w:tc>
          <w:tcPr>
            <w:tcW w:w="4025" w:type="dxa"/>
            <w:vAlign w:val="center"/>
          </w:tcPr>
          <w:p>
            <w:pPr>
              <w:spacing w:line="360" w:lineRule="exact"/>
              <w:ind w:left="-21" w:leftChars="-10" w:firstLine="21" w:firstLineChars="10"/>
              <w:jc w:val="center"/>
              <w:rPr>
                <w:rFonts w:hint="eastAsia" w:ascii="宋体" w:hAnsi="宋体" w:eastAsia="宋体" w:cs="宋体"/>
                <w:b/>
                <w:bCs/>
                <w:sz w:val="21"/>
                <w:szCs w:val="21"/>
              </w:rPr>
            </w:pPr>
            <w:r>
              <w:rPr>
                <w:rFonts w:hint="eastAsia" w:ascii="宋体" w:hAnsi="宋体" w:eastAsia="宋体" w:cs="宋体"/>
                <w:b/>
                <w:bCs/>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86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2936" w:type="dxa"/>
            <w:vAlign w:val="center"/>
          </w:tcPr>
          <w:p>
            <w:pPr>
              <w:wordWrap w:val="0"/>
              <w:jc w:val="center"/>
              <w:rPr>
                <w:rFonts w:hint="eastAsia" w:ascii="宋体" w:hAnsi="宋体" w:eastAsia="宋体" w:cs="宋体"/>
                <w:sz w:val="21"/>
                <w:szCs w:val="21"/>
              </w:rPr>
            </w:pPr>
            <w:r>
              <w:rPr>
                <w:rFonts w:hint="eastAsia" w:ascii="宋体" w:hAnsi="宋体" w:eastAsia="宋体" w:cs="宋体"/>
                <w:sz w:val="21"/>
                <w:szCs w:val="21"/>
              </w:rPr>
              <w:t>同类项业绩</w:t>
            </w:r>
          </w:p>
        </w:tc>
        <w:tc>
          <w:tcPr>
            <w:tcW w:w="1276" w:type="dxa"/>
            <w:vAlign w:val="center"/>
          </w:tcPr>
          <w:p>
            <w:pPr>
              <w:wordWrap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w:t>
            </w:r>
          </w:p>
        </w:tc>
        <w:tc>
          <w:tcPr>
            <w:tcW w:w="4025" w:type="dxa"/>
            <w:vAlign w:val="center"/>
          </w:tcPr>
          <w:p>
            <w:pPr>
              <w:rPr>
                <w:rFonts w:hint="eastAsia" w:ascii="宋体" w:hAnsi="宋体" w:eastAsia="宋体" w:cs="宋体"/>
                <w:b/>
                <w:bCs/>
                <w:sz w:val="21"/>
                <w:szCs w:val="21"/>
              </w:rPr>
            </w:pPr>
            <w:r>
              <w:rPr>
                <w:rFonts w:hint="eastAsia" w:ascii="宋体" w:hAnsi="宋体" w:eastAsia="宋体" w:cs="宋体"/>
                <w:b/>
                <w:bCs/>
                <w:sz w:val="21"/>
                <w:szCs w:val="21"/>
              </w:rPr>
              <w:t>1.评审标准：</w:t>
            </w:r>
          </w:p>
          <w:p>
            <w:pPr>
              <w:rPr>
                <w:rFonts w:hint="eastAsia" w:ascii="宋体" w:hAnsi="宋体" w:eastAsia="宋体" w:cs="宋体"/>
                <w:sz w:val="21"/>
                <w:szCs w:val="21"/>
              </w:rPr>
            </w:pPr>
            <w:r>
              <w:rPr>
                <w:rFonts w:hint="eastAsia" w:ascii="宋体" w:hAnsi="宋体" w:eastAsia="宋体" w:cs="宋体"/>
                <w:sz w:val="21"/>
                <w:szCs w:val="21"/>
              </w:rPr>
              <w:t>投标人提供同类项业绩，每提供一个有效业绩得</w:t>
            </w:r>
            <w:r>
              <w:rPr>
                <w:rFonts w:hint="eastAsia" w:ascii="宋体" w:hAnsi="宋体" w:eastAsia="宋体" w:cs="宋体"/>
                <w:sz w:val="21"/>
                <w:szCs w:val="21"/>
                <w:lang w:val="en-US" w:eastAsia="zh-CN"/>
              </w:rPr>
              <w:t>2</w:t>
            </w:r>
            <w:r>
              <w:rPr>
                <w:rFonts w:hint="eastAsia" w:ascii="宋体" w:hAnsi="宋体" w:eastAsia="宋体" w:cs="宋体"/>
                <w:sz w:val="21"/>
                <w:szCs w:val="21"/>
              </w:rPr>
              <w:t>分，满分</w:t>
            </w:r>
            <w:r>
              <w:rPr>
                <w:rFonts w:hint="eastAsia" w:ascii="宋体" w:hAnsi="宋体" w:cs="宋体"/>
                <w:sz w:val="21"/>
                <w:szCs w:val="21"/>
                <w:lang w:val="en-US" w:eastAsia="zh-CN"/>
              </w:rPr>
              <w:t>8</w:t>
            </w:r>
            <w:r>
              <w:rPr>
                <w:rFonts w:hint="eastAsia" w:ascii="宋体" w:hAnsi="宋体" w:eastAsia="宋体" w:cs="宋体"/>
                <w:sz w:val="21"/>
                <w:szCs w:val="21"/>
              </w:rPr>
              <w:t>分，未提供不得分。</w:t>
            </w:r>
          </w:p>
          <w:p>
            <w:pPr>
              <w:rPr>
                <w:rFonts w:hint="eastAsia" w:ascii="宋体" w:hAnsi="宋体" w:eastAsia="宋体" w:cs="宋体"/>
                <w:b/>
                <w:bCs/>
                <w:sz w:val="21"/>
                <w:szCs w:val="21"/>
              </w:rPr>
            </w:pPr>
            <w:r>
              <w:rPr>
                <w:rFonts w:hint="eastAsia" w:ascii="宋体" w:hAnsi="宋体" w:eastAsia="宋体" w:cs="宋体"/>
                <w:b/>
                <w:bCs/>
                <w:sz w:val="21"/>
                <w:szCs w:val="21"/>
              </w:rPr>
              <w:t>2.证明文件</w:t>
            </w:r>
          </w:p>
          <w:p>
            <w:pPr>
              <w:rPr>
                <w:rFonts w:hint="eastAsia" w:ascii="宋体" w:hAnsi="宋体" w:eastAsia="宋体" w:cs="宋体"/>
                <w:b/>
                <w:bCs/>
                <w:sz w:val="21"/>
                <w:szCs w:val="21"/>
              </w:rPr>
            </w:pPr>
            <w:r>
              <w:rPr>
                <w:rFonts w:hint="eastAsia" w:ascii="宋体" w:hAnsi="宋体" w:eastAsia="宋体" w:cs="宋体"/>
                <w:sz w:val="21"/>
                <w:szCs w:val="21"/>
              </w:rPr>
              <w:t>投标人按要求提供同类项目的合同关键页以及验收表加盖投标人公章，提供不清晰或未按要求提供不得分。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63" w:type="dxa"/>
            <w:vAlign w:val="center"/>
          </w:tcPr>
          <w:p>
            <w:pPr>
              <w:wordWrap w:val="0"/>
              <w:jc w:val="center"/>
              <w:rPr>
                <w:rFonts w:hint="eastAsia" w:ascii="宋体" w:hAnsi="宋体" w:eastAsia="宋体" w:cs="宋体"/>
                <w:sz w:val="21"/>
                <w:szCs w:val="21"/>
              </w:rPr>
            </w:pPr>
            <w:r>
              <w:rPr>
                <w:rFonts w:hint="eastAsia" w:ascii="宋体" w:hAnsi="宋体" w:eastAsia="宋体" w:cs="宋体"/>
                <w:sz w:val="21"/>
                <w:szCs w:val="21"/>
              </w:rPr>
              <w:t>2</w:t>
            </w:r>
          </w:p>
        </w:tc>
        <w:tc>
          <w:tcPr>
            <w:tcW w:w="2936" w:type="dxa"/>
            <w:vAlign w:val="center"/>
          </w:tcPr>
          <w:p>
            <w:pPr>
              <w:wordWrap w:val="0"/>
              <w:jc w:val="center"/>
              <w:rPr>
                <w:rFonts w:hint="eastAsia" w:ascii="宋体" w:hAnsi="宋体" w:eastAsia="宋体" w:cs="宋体"/>
                <w:sz w:val="21"/>
                <w:szCs w:val="21"/>
                <w:lang w:val="en-US" w:eastAsia="zh-CN"/>
              </w:rPr>
            </w:pPr>
            <w:r>
              <w:rPr>
                <w:rFonts w:hint="default" w:ascii="Times New Roman" w:hAnsi="Times New Roman" w:eastAsia="宋体" w:cs="Times New Roman"/>
                <w:color w:val="auto"/>
                <w:sz w:val="22"/>
                <w:szCs w:val="22"/>
                <w:highlight w:val="none"/>
              </w:rPr>
              <w:t>投标人资格情况及通过相关认证情况</w:t>
            </w:r>
          </w:p>
        </w:tc>
        <w:tc>
          <w:tcPr>
            <w:tcW w:w="1276" w:type="dxa"/>
            <w:vAlign w:val="center"/>
          </w:tcPr>
          <w:p>
            <w:pPr>
              <w:wordWrap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12</w:t>
            </w:r>
          </w:p>
        </w:tc>
        <w:tc>
          <w:tcPr>
            <w:tcW w:w="4025" w:type="dxa"/>
          </w:tcPr>
          <w:p>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1.评审标准：</w:t>
            </w:r>
          </w:p>
          <w:p>
            <w:pPr>
              <w:keepNext w:val="0"/>
              <w:keepLines w:val="0"/>
              <w:pageBreakBefore w:val="0"/>
              <w:widowControl/>
              <w:kinsoku/>
              <w:wordWrap/>
              <w:overflowPunct/>
              <w:topLinePunct w:val="0"/>
              <w:autoSpaceDE/>
              <w:autoSpaceDN/>
              <w:bidi w:val="0"/>
              <w:spacing w:line="360" w:lineRule="exact"/>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color w:val="000000"/>
                <w:kern w:val="0"/>
                <w:sz w:val="22"/>
                <w:szCs w:val="22"/>
                <w:highlight w:val="none"/>
              </w:rPr>
              <w:t xml:space="preserve">投标人具备良好的内部管理能力 </w:t>
            </w:r>
          </w:p>
          <w:p>
            <w:pPr>
              <w:wordWrap w:val="0"/>
              <w:jc w:val="left"/>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color w:val="000000"/>
                <w:kern w:val="0"/>
                <w:sz w:val="22"/>
                <w:szCs w:val="22"/>
                <w:highlight w:val="none"/>
              </w:rPr>
              <w:t xml:space="preserve">（1）投标人具有质量管理体系认证证书得 </w:t>
            </w:r>
            <w:r>
              <w:rPr>
                <w:rFonts w:hint="eastAsia" w:ascii="Times New Roman" w:hAnsi="Times New Roman" w:eastAsia="宋体" w:cs="Times New Roman"/>
                <w:color w:val="000000"/>
                <w:kern w:val="0"/>
                <w:sz w:val="22"/>
                <w:szCs w:val="22"/>
                <w:highlight w:val="none"/>
                <w:lang w:val="en-US" w:eastAsia="zh-CN"/>
              </w:rPr>
              <w:t>3</w:t>
            </w:r>
            <w:r>
              <w:rPr>
                <w:rFonts w:hint="default" w:ascii="Times New Roman" w:hAnsi="Times New Roman" w:eastAsia="宋体" w:cs="Times New Roman"/>
                <w:color w:val="000000"/>
                <w:kern w:val="0"/>
                <w:sz w:val="22"/>
                <w:szCs w:val="22"/>
                <w:highlight w:val="none"/>
              </w:rPr>
              <w:t xml:space="preserve"> 分； </w:t>
            </w:r>
          </w:p>
          <w:p>
            <w:pPr>
              <w:wordWrap w:val="0"/>
              <w:jc w:val="left"/>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color w:val="000000"/>
                <w:kern w:val="0"/>
                <w:sz w:val="22"/>
                <w:szCs w:val="22"/>
                <w:highlight w:val="none"/>
              </w:rPr>
              <w:t>（2）投标人具有职业健康管理体系认证证书得</w:t>
            </w:r>
            <w:r>
              <w:rPr>
                <w:rFonts w:hint="eastAsia" w:ascii="Times New Roman" w:hAnsi="Times New Roman" w:eastAsia="宋体" w:cs="Times New Roman"/>
                <w:color w:val="000000"/>
                <w:kern w:val="0"/>
                <w:sz w:val="22"/>
                <w:szCs w:val="22"/>
                <w:highlight w:val="none"/>
                <w:lang w:val="en-US" w:eastAsia="zh-CN"/>
              </w:rPr>
              <w:t>3</w:t>
            </w:r>
            <w:r>
              <w:rPr>
                <w:rFonts w:hint="default" w:ascii="Times New Roman" w:hAnsi="Times New Roman" w:eastAsia="宋体" w:cs="Times New Roman"/>
                <w:color w:val="000000"/>
                <w:kern w:val="0"/>
                <w:sz w:val="22"/>
                <w:szCs w:val="22"/>
                <w:highlight w:val="none"/>
              </w:rPr>
              <w:t xml:space="preserve">分； </w:t>
            </w:r>
          </w:p>
          <w:p>
            <w:pPr>
              <w:wordWrap w:val="0"/>
              <w:jc w:val="left"/>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color w:val="000000"/>
                <w:kern w:val="0"/>
                <w:sz w:val="22"/>
                <w:szCs w:val="22"/>
                <w:highlight w:val="none"/>
              </w:rPr>
              <w:t xml:space="preserve">（3）投标人具有环境管理体系认证证书得 </w:t>
            </w:r>
            <w:r>
              <w:rPr>
                <w:rFonts w:hint="eastAsia" w:ascii="Times New Roman" w:hAnsi="Times New Roman" w:eastAsia="宋体" w:cs="Times New Roman"/>
                <w:color w:val="000000"/>
                <w:kern w:val="0"/>
                <w:sz w:val="22"/>
                <w:szCs w:val="22"/>
                <w:highlight w:val="none"/>
                <w:lang w:val="en-US" w:eastAsia="zh-CN"/>
              </w:rPr>
              <w:t>3</w:t>
            </w:r>
            <w:r>
              <w:rPr>
                <w:rFonts w:hint="default" w:ascii="Times New Roman" w:hAnsi="Times New Roman" w:eastAsia="宋体" w:cs="Times New Roman"/>
                <w:color w:val="000000"/>
                <w:kern w:val="0"/>
                <w:sz w:val="22"/>
                <w:szCs w:val="22"/>
                <w:highlight w:val="none"/>
              </w:rPr>
              <w:t xml:space="preserve">分； </w:t>
            </w:r>
          </w:p>
          <w:p>
            <w:pPr>
              <w:wordWrap w:val="0"/>
              <w:jc w:val="left"/>
              <w:rPr>
                <w:rFonts w:hint="eastAsia"/>
                <w:highlight w:val="none"/>
              </w:rPr>
            </w:pPr>
            <w:r>
              <w:rPr>
                <w:rFonts w:hint="default" w:ascii="Times New Roman" w:hAnsi="Times New Roman" w:eastAsia="宋体" w:cs="Times New Roman"/>
                <w:color w:val="000000"/>
                <w:kern w:val="0"/>
                <w:sz w:val="22"/>
                <w:szCs w:val="22"/>
                <w:highlight w:val="none"/>
              </w:rPr>
              <w:t>（</w:t>
            </w:r>
            <w:r>
              <w:rPr>
                <w:rFonts w:hint="eastAsia" w:cs="Times New Roman"/>
                <w:color w:val="000000"/>
                <w:kern w:val="0"/>
                <w:sz w:val="22"/>
                <w:szCs w:val="22"/>
                <w:highlight w:val="none"/>
                <w:lang w:val="en-US" w:eastAsia="zh-CN"/>
              </w:rPr>
              <w:t>4</w:t>
            </w:r>
            <w:r>
              <w:rPr>
                <w:rFonts w:hint="default" w:ascii="Times New Roman" w:hAnsi="Times New Roman" w:eastAsia="宋体" w:cs="Times New Roman"/>
                <w:color w:val="000000"/>
                <w:kern w:val="0"/>
                <w:sz w:val="22"/>
                <w:szCs w:val="22"/>
                <w:highlight w:val="none"/>
              </w:rPr>
              <w:t>）投标人具有</w:t>
            </w:r>
            <w:r>
              <w:rPr>
                <w:rFonts w:hint="eastAsia" w:cs="Times New Roman"/>
                <w:color w:val="000000"/>
                <w:kern w:val="0"/>
                <w:sz w:val="22"/>
                <w:szCs w:val="22"/>
                <w:highlight w:val="none"/>
                <w:lang w:val="en-US" w:eastAsia="zh-CN"/>
              </w:rPr>
              <w:t>设施管理</w:t>
            </w:r>
            <w:r>
              <w:rPr>
                <w:rFonts w:hint="default" w:ascii="Times New Roman" w:hAnsi="Times New Roman" w:eastAsia="宋体" w:cs="Times New Roman"/>
                <w:color w:val="000000"/>
                <w:kern w:val="0"/>
                <w:sz w:val="22"/>
                <w:szCs w:val="22"/>
                <w:highlight w:val="none"/>
              </w:rPr>
              <w:t xml:space="preserve">体系认证证书得 </w:t>
            </w:r>
            <w:r>
              <w:rPr>
                <w:rFonts w:hint="eastAsia" w:ascii="Times New Roman" w:hAnsi="Times New Roman" w:eastAsia="宋体" w:cs="Times New Roman"/>
                <w:color w:val="000000"/>
                <w:kern w:val="0"/>
                <w:sz w:val="22"/>
                <w:szCs w:val="22"/>
                <w:highlight w:val="none"/>
                <w:lang w:val="en-US" w:eastAsia="zh-CN"/>
              </w:rPr>
              <w:t>3</w:t>
            </w:r>
            <w:r>
              <w:rPr>
                <w:rFonts w:hint="default" w:ascii="Times New Roman" w:hAnsi="Times New Roman" w:eastAsia="宋体" w:cs="Times New Roman"/>
                <w:color w:val="000000"/>
                <w:kern w:val="0"/>
                <w:sz w:val="22"/>
                <w:szCs w:val="22"/>
                <w:highlight w:val="none"/>
              </w:rPr>
              <w:t>分；</w:t>
            </w:r>
          </w:p>
          <w:p>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2.证明文件</w:t>
            </w:r>
          </w:p>
          <w:p>
            <w:pPr>
              <w:wordWrap w:val="0"/>
              <w:jc w:val="left"/>
              <w:rPr>
                <w:rFonts w:hint="eastAsia" w:ascii="宋体" w:hAnsi="宋体" w:eastAsia="宋体" w:cs="宋体"/>
                <w:sz w:val="21"/>
                <w:szCs w:val="21"/>
                <w:highlight w:val="none"/>
              </w:rPr>
            </w:pPr>
            <w:r>
              <w:rPr>
                <w:rFonts w:hint="default" w:ascii="Times New Roman" w:hAnsi="Times New Roman" w:eastAsia="宋体" w:cs="Times New Roman"/>
                <w:color w:val="000000"/>
                <w:kern w:val="0"/>
                <w:sz w:val="22"/>
                <w:szCs w:val="22"/>
                <w:highlight w:val="none"/>
              </w:rPr>
              <w:t>以上提供相关证书扫描件</w:t>
            </w:r>
            <w:r>
              <w:rPr>
                <w:rFonts w:hint="eastAsia" w:ascii="Times New Roman" w:cs="Times New Roman"/>
                <w:color w:val="000000"/>
                <w:kern w:val="0"/>
                <w:sz w:val="22"/>
                <w:szCs w:val="22"/>
                <w:highlight w:val="none"/>
                <w:lang w:val="en-US" w:eastAsia="zh-CN"/>
              </w:rPr>
              <w:t>加盖公章</w:t>
            </w:r>
            <w:r>
              <w:rPr>
                <w:rFonts w:hint="default" w:ascii="Times New Roman" w:hAnsi="Times New Roman" w:eastAsia="宋体" w:cs="Times New Roman"/>
                <w:color w:val="000000"/>
                <w:kern w:val="0"/>
                <w:sz w:val="22"/>
                <w:szCs w:val="22"/>
                <w:highlight w:val="none"/>
              </w:rPr>
              <w:t>，证书须在有效期内，未按规定年审或未提供以及无法判断是否清晰有效的不得分。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3" w:type="dxa"/>
            <w:vAlign w:val="center"/>
          </w:tcPr>
          <w:p>
            <w:pPr>
              <w:wordWrap w:val="0"/>
              <w:jc w:val="center"/>
              <w:rPr>
                <w:rFonts w:hint="eastAsia" w:ascii="宋体" w:hAnsi="宋体" w:eastAsia="宋体" w:cs="宋体"/>
                <w:sz w:val="21"/>
                <w:szCs w:val="21"/>
              </w:rPr>
            </w:pPr>
            <w:r>
              <w:rPr>
                <w:rFonts w:hint="eastAsia" w:ascii="宋体" w:hAnsi="宋体" w:eastAsia="宋体" w:cs="宋体"/>
                <w:sz w:val="21"/>
                <w:szCs w:val="21"/>
              </w:rPr>
              <w:t>3</w:t>
            </w:r>
          </w:p>
        </w:tc>
        <w:tc>
          <w:tcPr>
            <w:tcW w:w="2936" w:type="dxa"/>
            <w:vAlign w:val="center"/>
          </w:tcPr>
          <w:p>
            <w:pPr>
              <w:wordWrap w:val="0"/>
              <w:jc w:val="center"/>
              <w:rPr>
                <w:rFonts w:hint="eastAsia" w:ascii="宋体" w:hAnsi="宋体" w:eastAsia="宋体" w:cs="宋体"/>
                <w:sz w:val="21"/>
                <w:szCs w:val="21"/>
              </w:rPr>
            </w:pPr>
            <w:r>
              <w:rPr>
                <w:rFonts w:hint="eastAsia" w:ascii="宋体" w:hAnsi="宋体" w:eastAsia="宋体" w:cs="宋体"/>
                <w:sz w:val="21"/>
                <w:szCs w:val="21"/>
              </w:rPr>
              <w:t>诚信承诺</w:t>
            </w:r>
          </w:p>
        </w:tc>
        <w:tc>
          <w:tcPr>
            <w:tcW w:w="1276" w:type="dxa"/>
            <w:vAlign w:val="center"/>
          </w:tcPr>
          <w:p>
            <w:pPr>
              <w:wordWrap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4025" w:type="dxa"/>
          </w:tcPr>
          <w:p>
            <w:pPr>
              <w:tabs>
                <w:tab w:val="left" w:pos="315"/>
              </w:tabs>
              <w:autoSpaceDE w:val="0"/>
              <w:autoSpaceDN w:val="0"/>
              <w:adjustRightInd w:val="0"/>
              <w:jc w:val="left"/>
              <w:rPr>
                <w:rFonts w:hint="eastAsia" w:ascii="宋体" w:hAnsi="宋体" w:eastAsia="宋体" w:cs="宋体"/>
                <w:kern w:val="0"/>
                <w:sz w:val="21"/>
                <w:szCs w:val="21"/>
                <w:lang w:val="zh-CN"/>
              </w:rPr>
            </w:pPr>
            <w:r>
              <w:rPr>
                <w:rFonts w:hint="eastAsia" w:ascii="宋体" w:hAnsi="宋体" w:eastAsia="宋体" w:cs="宋体"/>
                <w:b/>
                <w:bCs/>
                <w:kern w:val="0"/>
                <w:sz w:val="21"/>
                <w:szCs w:val="21"/>
              </w:rPr>
              <w:t>1.</w:t>
            </w:r>
            <w:r>
              <w:rPr>
                <w:rFonts w:hint="eastAsia" w:ascii="宋体" w:hAnsi="宋体" w:eastAsia="宋体" w:cs="宋体"/>
                <w:b/>
                <w:bCs/>
                <w:kern w:val="0"/>
                <w:sz w:val="21"/>
                <w:szCs w:val="21"/>
                <w:lang w:val="zh-CN"/>
              </w:rPr>
              <w:t>评审标准：</w:t>
            </w:r>
          </w:p>
          <w:p>
            <w:pPr>
              <w:tabs>
                <w:tab w:val="left" w:pos="315"/>
              </w:tabs>
              <w:autoSpaceDE w:val="0"/>
              <w:autoSpaceDN w:val="0"/>
              <w:adjustRightInd w:val="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根据深圳市财政委员会政府采购诚信管理相关规定，对投标人被记录诚信档案的情况进行评审</w:t>
            </w:r>
            <w:r>
              <w:rPr>
                <w:rFonts w:hint="eastAsia" w:ascii="宋体" w:hAnsi="宋体" w:cs="宋体"/>
                <w:kern w:val="0"/>
                <w:sz w:val="21"/>
                <w:szCs w:val="21"/>
                <w:lang w:val="zh-CN"/>
              </w:rPr>
              <w:t>，</w:t>
            </w:r>
          </w:p>
          <w:p>
            <w:pPr>
              <w:tabs>
                <w:tab w:val="left" w:pos="315"/>
              </w:tabs>
              <w:autoSpaceDE w:val="0"/>
              <w:autoSpaceDN w:val="0"/>
              <w:adjustRightInd w:val="0"/>
              <w:jc w:val="left"/>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2</w:t>
            </w:r>
            <w:r>
              <w:rPr>
                <w:rFonts w:hint="eastAsia" w:ascii="宋体" w:hAnsi="宋体" w:eastAsia="宋体" w:cs="宋体"/>
                <w:b/>
                <w:bCs/>
                <w:kern w:val="0"/>
                <w:sz w:val="21"/>
                <w:szCs w:val="21"/>
              </w:rPr>
              <w:t>.</w:t>
            </w:r>
            <w:r>
              <w:rPr>
                <w:rFonts w:hint="eastAsia" w:ascii="宋体" w:hAnsi="宋体" w:eastAsia="宋体" w:cs="宋体"/>
                <w:b/>
                <w:bCs/>
                <w:kern w:val="0"/>
                <w:sz w:val="21"/>
                <w:szCs w:val="21"/>
                <w:lang w:val="zh-CN"/>
              </w:rPr>
              <w:t>证明文件：</w:t>
            </w:r>
          </w:p>
          <w:p>
            <w:pPr>
              <w:tabs>
                <w:tab w:val="left" w:pos="315"/>
              </w:tabs>
              <w:autoSpaceDE w:val="0"/>
              <w:autoSpaceDN w:val="0"/>
              <w:adjustRightInd w:val="0"/>
              <w:jc w:val="left"/>
              <w:rPr>
                <w:rFonts w:hint="eastAsia" w:ascii="宋体" w:hAnsi="宋体" w:eastAsia="宋体" w:cs="宋体"/>
                <w:sz w:val="21"/>
                <w:szCs w:val="21"/>
              </w:rPr>
            </w:pPr>
            <w:r>
              <w:rPr>
                <w:rFonts w:hint="eastAsia" w:ascii="宋体" w:hAnsi="宋体" w:eastAsia="宋体" w:cs="宋体"/>
                <w:kern w:val="0"/>
                <w:sz w:val="21"/>
                <w:szCs w:val="21"/>
                <w:lang w:val="zh-CN"/>
              </w:rPr>
              <w:t>须提供《诚信承诺函》，如若投标人承诺与实际情况不相符，将按照虚假投标的情况报相关主管部门处理，承诺函应按招标文件格式填写原件加盖投标人公章。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3" w:type="dxa"/>
            <w:vAlign w:val="center"/>
          </w:tcPr>
          <w:p>
            <w:pPr>
              <w:wordWrap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2936" w:type="dxa"/>
            <w:vAlign w:val="center"/>
          </w:tcPr>
          <w:p>
            <w:pPr>
              <w:wordWrap w:val="0"/>
              <w:jc w:val="center"/>
              <w:rPr>
                <w:rFonts w:hint="eastAsia" w:ascii="宋体" w:hAnsi="宋体" w:eastAsia="宋体" w:cs="宋体"/>
                <w:sz w:val="21"/>
                <w:szCs w:val="21"/>
              </w:rPr>
            </w:pPr>
            <w:r>
              <w:rPr>
                <w:rFonts w:hint="default" w:ascii="Times New Roman" w:hAnsi="Times New Roman" w:eastAsia="宋体" w:cs="Times New Roman"/>
                <w:sz w:val="22"/>
                <w:szCs w:val="22"/>
                <w:lang w:eastAsia="zh-CN"/>
              </w:rPr>
              <w:t>应急响应情况</w:t>
            </w:r>
          </w:p>
        </w:tc>
        <w:tc>
          <w:tcPr>
            <w:tcW w:w="1276" w:type="dxa"/>
            <w:vAlign w:val="center"/>
          </w:tcPr>
          <w:p>
            <w:pPr>
              <w:wordWrap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w:t>
            </w:r>
          </w:p>
        </w:tc>
        <w:tc>
          <w:tcPr>
            <w:tcW w:w="4025" w:type="dxa"/>
          </w:tcPr>
          <w:p>
            <w:pPr>
              <w:tabs>
                <w:tab w:val="left" w:pos="315"/>
              </w:tabs>
              <w:autoSpaceDE w:val="0"/>
              <w:autoSpaceDN w:val="0"/>
              <w:adjustRightInd w:val="0"/>
              <w:jc w:val="left"/>
              <w:rPr>
                <w:rFonts w:hint="eastAsia" w:ascii="宋体" w:hAnsi="宋体" w:eastAsia="宋体" w:cs="宋体"/>
                <w:kern w:val="0"/>
                <w:sz w:val="21"/>
                <w:szCs w:val="21"/>
                <w:lang w:val="zh-CN"/>
              </w:rPr>
            </w:pPr>
            <w:r>
              <w:rPr>
                <w:rFonts w:hint="eastAsia" w:ascii="宋体" w:hAnsi="宋体" w:eastAsia="宋体" w:cs="宋体"/>
                <w:b/>
                <w:bCs/>
                <w:kern w:val="0"/>
                <w:sz w:val="21"/>
                <w:szCs w:val="21"/>
              </w:rPr>
              <w:t>1.</w:t>
            </w:r>
            <w:r>
              <w:rPr>
                <w:rFonts w:hint="eastAsia" w:ascii="宋体" w:hAnsi="宋体" w:eastAsia="宋体" w:cs="宋体"/>
                <w:b/>
                <w:bCs/>
                <w:kern w:val="0"/>
                <w:sz w:val="21"/>
                <w:szCs w:val="21"/>
                <w:lang w:val="zh-CN"/>
              </w:rPr>
              <w:t>评审标准：</w:t>
            </w:r>
          </w:p>
          <w:p>
            <w:pPr>
              <w:keepNext w:val="0"/>
              <w:keepLines w:val="0"/>
              <w:pageBreakBefore w:val="0"/>
              <w:kinsoku/>
              <w:wordWrap/>
              <w:overflowPunct/>
              <w:topLinePunct w:val="0"/>
              <w:autoSpaceDE/>
              <w:autoSpaceDN/>
              <w:bidi w:val="0"/>
              <w:spacing w:line="360" w:lineRule="exact"/>
              <w:rPr>
                <w:rFonts w:hint="default" w:ascii="Times New Roman" w:hAnsi="Times New Roman" w:eastAsia="宋体" w:cs="Times New Roman"/>
                <w:sz w:val="22"/>
                <w:szCs w:val="22"/>
                <w:highlight w:val="none"/>
              </w:rPr>
            </w:pPr>
            <w:r>
              <w:rPr>
                <w:rFonts w:hint="eastAsia" w:cs="Times New Roman"/>
                <w:sz w:val="22"/>
                <w:szCs w:val="22"/>
                <w:lang w:val="en-US" w:eastAsia="zh-CN"/>
              </w:rPr>
              <w:t>学校5公</w:t>
            </w:r>
            <w:r>
              <w:rPr>
                <w:rFonts w:hint="eastAsia" w:cs="Times New Roman"/>
                <w:sz w:val="22"/>
                <w:szCs w:val="22"/>
                <w:highlight w:val="none"/>
                <w:lang w:val="en-US" w:eastAsia="zh-CN"/>
              </w:rPr>
              <w:t>里以内有人员驻点（提供附近项目电梯维保合同，项目电梯台数不少于50台），</w:t>
            </w:r>
            <w:r>
              <w:rPr>
                <w:rFonts w:hint="default" w:ascii="Times New Roman" w:hAnsi="Times New Roman" w:eastAsia="宋体" w:cs="Times New Roman"/>
                <w:sz w:val="22"/>
                <w:szCs w:val="22"/>
                <w:highlight w:val="none"/>
              </w:rPr>
              <w:t>考虑服务便利性及应急情况：</w:t>
            </w:r>
          </w:p>
          <w:p>
            <w:pPr>
              <w:keepNext w:val="0"/>
              <w:keepLines w:val="0"/>
              <w:pageBreakBefore w:val="0"/>
              <w:kinsoku/>
              <w:wordWrap/>
              <w:overflowPunct/>
              <w:topLinePunct w:val="0"/>
              <w:autoSpaceDE/>
              <w:autoSpaceDN/>
              <w:bidi w:val="0"/>
              <w:spacing w:line="3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highlight w:val="none"/>
              </w:rPr>
              <w:t>（1）1</w:t>
            </w:r>
            <w:r>
              <w:rPr>
                <w:rFonts w:hint="eastAsia" w:cs="Times New Roman"/>
                <w:sz w:val="22"/>
                <w:szCs w:val="22"/>
                <w:highlight w:val="none"/>
                <w:lang w:val="en-US" w:eastAsia="zh-CN"/>
              </w:rPr>
              <w:t>5</w:t>
            </w:r>
            <w:r>
              <w:rPr>
                <w:rFonts w:hint="default" w:ascii="Times New Roman" w:hAnsi="Times New Roman" w:eastAsia="宋体" w:cs="Times New Roman"/>
                <w:sz w:val="22"/>
                <w:szCs w:val="22"/>
                <w:highlight w:val="none"/>
              </w:rPr>
              <w:t>分钟（含）内响应</w:t>
            </w:r>
            <w:r>
              <w:rPr>
                <w:rFonts w:hint="default" w:ascii="Times New Roman" w:hAnsi="Times New Roman" w:eastAsia="宋体" w:cs="Times New Roman"/>
                <w:sz w:val="22"/>
                <w:szCs w:val="22"/>
              </w:rPr>
              <w:t>并赶到应急维修现场的得8分；</w:t>
            </w:r>
          </w:p>
          <w:p>
            <w:pPr>
              <w:keepNext w:val="0"/>
              <w:keepLines w:val="0"/>
              <w:pageBreakBefore w:val="0"/>
              <w:kinsoku/>
              <w:wordWrap/>
              <w:overflowPunct/>
              <w:topLinePunct w:val="0"/>
              <w:autoSpaceDE/>
              <w:autoSpaceDN/>
              <w:bidi w:val="0"/>
              <w:spacing w:line="360" w:lineRule="exact"/>
            </w:pPr>
            <w:r>
              <w:rPr>
                <w:rFonts w:hint="default" w:ascii="Times New Roman" w:hAnsi="Times New Roman" w:eastAsia="宋体" w:cs="Times New Roman"/>
                <w:sz w:val="22"/>
                <w:szCs w:val="22"/>
              </w:rPr>
              <w:t>（2）1</w:t>
            </w:r>
            <w:r>
              <w:rPr>
                <w:rFonts w:hint="eastAsia" w:cs="Times New Roman"/>
                <w:sz w:val="22"/>
                <w:szCs w:val="22"/>
                <w:lang w:val="en-US" w:eastAsia="zh-CN"/>
              </w:rPr>
              <w:t>6</w:t>
            </w:r>
            <w:r>
              <w:rPr>
                <w:rFonts w:hint="default" w:ascii="Times New Roman" w:hAnsi="Times New Roman" w:eastAsia="宋体" w:cs="Times New Roman"/>
                <w:sz w:val="22"/>
                <w:szCs w:val="22"/>
              </w:rPr>
              <w:t>分钟-</w:t>
            </w:r>
            <w:r>
              <w:rPr>
                <w:rFonts w:hint="eastAsia" w:cs="Times New Roman"/>
                <w:sz w:val="22"/>
                <w:szCs w:val="22"/>
                <w:lang w:val="en-US" w:eastAsia="zh-CN"/>
              </w:rPr>
              <w:t>30</w:t>
            </w:r>
            <w:r>
              <w:rPr>
                <w:rFonts w:hint="default" w:ascii="Times New Roman" w:hAnsi="Times New Roman" w:eastAsia="宋体" w:cs="Times New Roman"/>
                <w:sz w:val="22"/>
                <w:szCs w:val="22"/>
              </w:rPr>
              <w:t>分钟（含）内响应并赶到应急维修现场的得</w:t>
            </w:r>
            <w:r>
              <w:rPr>
                <w:rFonts w:hint="eastAsia" w:cs="Times New Roman"/>
                <w:sz w:val="22"/>
                <w:szCs w:val="22"/>
                <w:lang w:val="en-US" w:eastAsia="zh-CN"/>
              </w:rPr>
              <w:t>4</w:t>
            </w:r>
            <w:r>
              <w:rPr>
                <w:rFonts w:hint="default" w:ascii="Times New Roman" w:hAnsi="Times New Roman" w:eastAsia="宋体" w:cs="Times New Roman"/>
                <w:sz w:val="22"/>
                <w:szCs w:val="22"/>
              </w:rPr>
              <w:t>分；</w:t>
            </w:r>
          </w:p>
          <w:p>
            <w:pPr>
              <w:keepNext w:val="0"/>
              <w:keepLines w:val="0"/>
              <w:pageBreakBefore w:val="0"/>
              <w:kinsoku/>
              <w:wordWrap/>
              <w:overflowPunct/>
              <w:topLinePunct w:val="0"/>
              <w:autoSpaceDE/>
              <w:autoSpaceDN/>
              <w:bidi w:val="0"/>
              <w:spacing w:line="360" w:lineRule="exact"/>
              <w:rPr>
                <w:rFonts w:hint="default" w:ascii="Times New Roman" w:hAnsi="Times New Roman" w:eastAsia="宋体" w:cs="Times New Roman"/>
                <w:sz w:val="22"/>
                <w:szCs w:val="22"/>
              </w:rPr>
            </w:pPr>
            <w:r>
              <w:rPr>
                <w:rFonts w:hint="eastAsia" w:eastAsia="宋体"/>
                <w:lang w:eastAsia="zh-CN"/>
              </w:rPr>
              <w:t>（</w:t>
            </w:r>
            <w:r>
              <w:rPr>
                <w:rFonts w:hint="eastAsia" w:eastAsia="宋体"/>
                <w:lang w:val="en-US" w:eastAsia="zh-CN"/>
              </w:rPr>
              <w:t>3</w:t>
            </w:r>
            <w:r>
              <w:rPr>
                <w:rFonts w:hint="eastAsia" w:eastAsia="宋体"/>
                <w:lang w:eastAsia="zh-CN"/>
              </w:rPr>
              <w:t>）</w:t>
            </w:r>
            <w:r>
              <w:rPr>
                <w:rFonts w:hint="default" w:ascii="Times New Roman" w:hAnsi="Times New Roman" w:eastAsia="宋体" w:cs="Times New Roman"/>
                <w:sz w:val="22"/>
                <w:szCs w:val="22"/>
                <w:lang w:val="en-US" w:eastAsia="zh-CN"/>
              </w:rPr>
              <w:t>30分钟以上响应并赶到应急维修现场的</w:t>
            </w:r>
            <w:r>
              <w:rPr>
                <w:rFonts w:hint="eastAsia" w:ascii="Times New Roman" w:hAnsi="Times New Roman" w:cs="Times New Roman"/>
                <w:sz w:val="22"/>
                <w:szCs w:val="22"/>
                <w:lang w:val="en-US" w:eastAsia="zh-CN"/>
              </w:rPr>
              <w:t>不得分</w:t>
            </w:r>
            <w:r>
              <w:rPr>
                <w:rFonts w:hint="default" w:ascii="Times New Roman" w:hAnsi="Times New Roman" w:eastAsia="宋体" w:cs="Times New Roman"/>
                <w:sz w:val="22"/>
                <w:szCs w:val="22"/>
              </w:rPr>
              <w:t>。</w:t>
            </w:r>
          </w:p>
          <w:p>
            <w:pPr>
              <w:tabs>
                <w:tab w:val="left" w:pos="315"/>
              </w:tabs>
              <w:autoSpaceDE w:val="0"/>
              <w:autoSpaceDN w:val="0"/>
              <w:adjustRightInd w:val="0"/>
              <w:jc w:val="left"/>
              <w:rPr>
                <w:rFonts w:hint="eastAsia" w:ascii="宋体" w:hAnsi="宋体" w:eastAsia="宋体" w:cs="宋体"/>
                <w:b/>
                <w:bCs/>
                <w:kern w:val="0"/>
                <w:sz w:val="21"/>
                <w:szCs w:val="21"/>
                <w:highlight w:val="none"/>
                <w:lang w:val="zh-CN"/>
              </w:rPr>
            </w:pPr>
            <w:r>
              <w:rPr>
                <w:rFonts w:hint="eastAsia" w:ascii="宋体" w:hAnsi="宋体" w:eastAsia="宋体" w:cs="宋体"/>
                <w:b/>
                <w:bCs/>
                <w:kern w:val="0"/>
                <w:sz w:val="21"/>
                <w:szCs w:val="21"/>
                <w:lang w:val="zh-CN"/>
              </w:rPr>
              <w:t>2</w:t>
            </w:r>
            <w:r>
              <w:rPr>
                <w:rFonts w:hint="eastAsia" w:ascii="宋体" w:hAnsi="宋体" w:eastAsia="宋体" w:cs="宋体"/>
                <w:b/>
                <w:bCs/>
                <w:kern w:val="0"/>
                <w:sz w:val="21"/>
                <w:szCs w:val="21"/>
              </w:rPr>
              <w:t>.</w:t>
            </w:r>
            <w:r>
              <w:rPr>
                <w:rFonts w:hint="eastAsia" w:ascii="宋体" w:hAnsi="宋体" w:eastAsia="宋体" w:cs="宋体"/>
                <w:b/>
                <w:bCs/>
                <w:kern w:val="0"/>
                <w:sz w:val="21"/>
                <w:szCs w:val="21"/>
                <w:highlight w:val="none"/>
                <w:lang w:val="zh-CN"/>
              </w:rPr>
              <w:t>证明文件：</w:t>
            </w:r>
          </w:p>
          <w:p>
            <w:pPr>
              <w:tabs>
                <w:tab w:val="left" w:pos="315"/>
              </w:tabs>
              <w:autoSpaceDE w:val="0"/>
              <w:autoSpaceDN w:val="0"/>
              <w:adjustRightInd w:val="0"/>
              <w:jc w:val="left"/>
              <w:rPr>
                <w:rFonts w:hint="eastAsia" w:ascii="宋体" w:hAnsi="宋体" w:eastAsia="宋体" w:cs="宋体"/>
                <w:kern w:val="0"/>
                <w:sz w:val="21"/>
                <w:szCs w:val="21"/>
                <w:lang w:val="zh-CN"/>
              </w:rPr>
            </w:pPr>
            <w:r>
              <w:rPr>
                <w:rFonts w:hint="eastAsia"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lang w:val="en-US" w:eastAsia="zh-CN"/>
              </w:rPr>
              <w:t>提供</w:t>
            </w:r>
            <w:r>
              <w:rPr>
                <w:rFonts w:hint="eastAsia" w:cs="Times New Roman"/>
                <w:sz w:val="22"/>
                <w:szCs w:val="22"/>
                <w:highlight w:val="none"/>
                <w:lang w:val="en-US" w:eastAsia="zh-CN"/>
              </w:rPr>
              <w:t>证明材料（合同关键页复印件）、</w:t>
            </w:r>
            <w:r>
              <w:rPr>
                <w:rFonts w:hint="default" w:ascii="Times New Roman" w:hAnsi="Times New Roman" w:eastAsia="宋体" w:cs="Times New Roman"/>
                <w:sz w:val="22"/>
                <w:szCs w:val="22"/>
                <w:highlight w:val="none"/>
                <w:lang w:val="en-US" w:eastAsia="zh-CN"/>
              </w:rPr>
              <w:t>应急时间响应承诺书加盖公章(</w:t>
            </w:r>
            <w:r>
              <w:rPr>
                <w:rFonts w:hint="default" w:ascii="Times New Roman" w:hAnsi="Times New Roman" w:eastAsia="宋体" w:cs="Times New Roman"/>
                <w:color w:val="auto"/>
                <w:kern w:val="0"/>
                <w:sz w:val="22"/>
                <w:szCs w:val="22"/>
                <w:highlight w:val="none"/>
              </w:rPr>
              <w:t>按投标文件格式</w:t>
            </w:r>
            <w:r>
              <w:rPr>
                <w:rFonts w:hint="default" w:ascii="Times New Roman" w:hAnsi="Times New Roman" w:eastAsia="宋体" w:cs="Times New Roman"/>
                <w:color w:val="auto"/>
                <w:kern w:val="0"/>
                <w:sz w:val="22"/>
                <w:szCs w:val="22"/>
                <w:highlight w:val="none"/>
                <w:lang w:eastAsia="zh-CN"/>
              </w:rPr>
              <w:t>要求</w:t>
            </w:r>
            <w:r>
              <w:rPr>
                <w:rFonts w:hint="default" w:ascii="Times New Roman" w:hAnsi="Times New Roman" w:eastAsia="宋体" w:cs="Times New Roman"/>
                <w:color w:val="auto"/>
                <w:kern w:val="0"/>
                <w:sz w:val="22"/>
                <w:szCs w:val="22"/>
                <w:highlight w:val="none"/>
              </w:rPr>
              <w:t>填写</w:t>
            </w:r>
            <w:r>
              <w:rPr>
                <w:rFonts w:hint="default" w:ascii="Times New Roman" w:hAnsi="Times New Roman" w:eastAsia="宋体" w:cs="Times New Roman"/>
                <w:sz w:val="22"/>
                <w:szCs w:val="22"/>
                <w:highlight w:val="none"/>
                <w:lang w:val="en-US" w:eastAsia="zh-CN"/>
              </w:rPr>
              <w:t>)</w:t>
            </w:r>
            <w:r>
              <w:rPr>
                <w:rFonts w:hint="default" w:ascii="Times New Roman" w:hAnsi="Times New Roman" w:eastAsia="宋体" w:cs="Times New Roman"/>
                <w:sz w:val="22"/>
                <w:szCs w:val="22"/>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075" w:type="dxa"/>
            <w:gridSpan w:val="3"/>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三、技术部分</w:t>
            </w:r>
          </w:p>
        </w:tc>
        <w:tc>
          <w:tcPr>
            <w:tcW w:w="4025" w:type="dxa"/>
            <w:vAlign w:val="center"/>
          </w:tcPr>
          <w:p>
            <w:pPr>
              <w:spacing w:line="360" w:lineRule="exact"/>
              <w:ind w:left="-21" w:leftChars="-10" w:firstLine="21" w:firstLineChars="10"/>
              <w:jc w:val="center"/>
              <w:rPr>
                <w:rFonts w:hint="eastAsia" w:ascii="宋体" w:hAnsi="宋体" w:eastAsia="宋体" w:cs="宋体"/>
                <w:snapToGrid w:val="0"/>
                <w:color w:val="000000"/>
                <w:kern w:val="0"/>
                <w:sz w:val="21"/>
                <w:szCs w:val="21"/>
                <w:highlight w:val="none"/>
                <w:lang w:val="en-US" w:eastAsia="zh-CN"/>
              </w:rPr>
            </w:pPr>
            <w:r>
              <w:rPr>
                <w:rFonts w:hint="eastAsia" w:ascii="宋体" w:hAnsi="宋体" w:cs="宋体"/>
                <w:b/>
                <w:bCs/>
                <w:snapToGrid w:val="0"/>
                <w:color w:val="000000"/>
                <w:kern w:val="0"/>
                <w:sz w:val="21"/>
                <w:szCs w:val="21"/>
                <w:highlight w:val="none"/>
                <w:lang w:val="en-US" w:eastAsia="zh-CN"/>
              </w:rPr>
              <w:t>4</w:t>
            </w:r>
            <w:r>
              <w:rPr>
                <w:rFonts w:hint="eastAsia" w:ascii="宋体" w:hAnsi="宋体" w:eastAsia="宋体" w:cs="宋体"/>
                <w:b/>
                <w:bCs/>
                <w:snapToGrid w:val="0"/>
                <w:color w:val="000000"/>
                <w:kern w:val="0"/>
                <w:sz w:val="21"/>
                <w:szCs w:val="21"/>
                <w:highlight w:val="none"/>
              </w:rPr>
              <w:t>0</w:t>
            </w:r>
            <w:r>
              <w:rPr>
                <w:rFonts w:hint="eastAsia" w:ascii="宋体" w:hAnsi="宋体" w:cs="宋体"/>
                <w:b/>
                <w:bCs/>
                <w:snapToGrid w:val="0"/>
                <w:color w:val="000000"/>
                <w:kern w:val="0"/>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63" w:type="dxa"/>
          </w:tcPr>
          <w:p>
            <w:pPr>
              <w:spacing w:line="360" w:lineRule="exact"/>
              <w:jc w:val="center"/>
              <w:rPr>
                <w:rFonts w:hint="eastAsia" w:ascii="宋体" w:hAnsi="宋体" w:eastAsia="宋体" w:cs="宋体"/>
                <w:sz w:val="21"/>
                <w:szCs w:val="21"/>
              </w:rPr>
            </w:pPr>
            <w:r>
              <w:rPr>
                <w:rFonts w:hint="eastAsia" w:ascii="宋体" w:hAnsi="宋体" w:eastAsia="宋体" w:cs="宋体"/>
                <w:b/>
                <w:bCs/>
                <w:sz w:val="21"/>
                <w:szCs w:val="21"/>
              </w:rPr>
              <w:t>序号</w:t>
            </w:r>
          </w:p>
        </w:tc>
        <w:tc>
          <w:tcPr>
            <w:tcW w:w="2936" w:type="dxa"/>
            <w:vAlign w:val="center"/>
          </w:tcPr>
          <w:p>
            <w:pPr>
              <w:spacing w:line="360" w:lineRule="exact"/>
              <w:jc w:val="center"/>
              <w:rPr>
                <w:rFonts w:hint="eastAsia" w:ascii="宋体" w:hAnsi="宋体" w:eastAsia="宋体" w:cs="宋体"/>
                <w:snapToGrid w:val="0"/>
                <w:kern w:val="0"/>
                <w:sz w:val="21"/>
                <w:szCs w:val="21"/>
              </w:rPr>
            </w:pPr>
            <w:r>
              <w:rPr>
                <w:rFonts w:hint="eastAsia" w:ascii="宋体" w:hAnsi="宋体" w:eastAsia="宋体" w:cs="宋体"/>
                <w:b/>
                <w:bCs/>
                <w:sz w:val="21"/>
                <w:szCs w:val="21"/>
              </w:rPr>
              <w:t>评分因素及要求</w:t>
            </w:r>
          </w:p>
        </w:tc>
        <w:tc>
          <w:tcPr>
            <w:tcW w:w="1276" w:type="dxa"/>
            <w:vAlign w:val="center"/>
          </w:tcPr>
          <w:p>
            <w:pPr>
              <w:spacing w:line="360" w:lineRule="exact"/>
              <w:jc w:val="center"/>
              <w:rPr>
                <w:rFonts w:hint="eastAsia" w:ascii="宋体" w:hAnsi="宋体" w:eastAsia="宋体" w:cs="宋体"/>
                <w:sz w:val="21"/>
                <w:szCs w:val="21"/>
              </w:rPr>
            </w:pPr>
            <w:r>
              <w:rPr>
                <w:rFonts w:hint="eastAsia" w:ascii="宋体" w:hAnsi="宋体" w:eastAsia="宋体" w:cs="宋体"/>
                <w:b/>
                <w:bCs/>
                <w:sz w:val="21"/>
                <w:szCs w:val="21"/>
              </w:rPr>
              <w:t>权重</w:t>
            </w:r>
          </w:p>
        </w:tc>
        <w:tc>
          <w:tcPr>
            <w:tcW w:w="4025" w:type="dxa"/>
          </w:tcPr>
          <w:p>
            <w:pPr>
              <w:spacing w:line="360" w:lineRule="exact"/>
              <w:ind w:left="-21" w:leftChars="-10" w:firstLine="21" w:firstLineChars="10"/>
              <w:jc w:val="center"/>
              <w:rPr>
                <w:rFonts w:hint="eastAsia" w:ascii="宋体" w:hAnsi="宋体" w:eastAsia="宋体" w:cs="宋体"/>
                <w:snapToGrid w:val="0"/>
                <w:color w:val="000000"/>
                <w:kern w:val="0"/>
                <w:sz w:val="21"/>
                <w:szCs w:val="21"/>
              </w:rPr>
            </w:pPr>
            <w:r>
              <w:rPr>
                <w:rFonts w:hint="eastAsia" w:ascii="宋体" w:hAnsi="宋体" w:eastAsia="宋体" w:cs="宋体"/>
                <w:b/>
                <w:bCs/>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63" w:type="dxa"/>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936" w:type="dxa"/>
            <w:vAlign w:val="center"/>
          </w:tcPr>
          <w:p>
            <w:pPr>
              <w:wordWrap w:val="0"/>
              <w:jc w:val="center"/>
              <w:rPr>
                <w:rFonts w:hint="eastAsia" w:ascii="宋体" w:hAnsi="宋体" w:eastAsia="宋体" w:cs="宋体"/>
                <w:sz w:val="21"/>
                <w:szCs w:val="21"/>
                <w:highlight w:val="none"/>
              </w:rPr>
            </w:pPr>
            <w:r>
              <w:rPr>
                <w:rFonts w:hint="default" w:ascii="Times New Roman" w:hAnsi="Times New Roman" w:eastAsia="宋体" w:cs="Times New Roman"/>
                <w:sz w:val="22"/>
                <w:szCs w:val="22"/>
              </w:rPr>
              <w:t>电梯维保方案</w:t>
            </w:r>
            <w:r>
              <w:rPr>
                <w:rFonts w:hint="default" w:ascii="Times New Roman" w:hAnsi="Times New Roman" w:eastAsia="宋体" w:cs="Times New Roman"/>
                <w:color w:val="auto"/>
                <w:sz w:val="22"/>
                <w:szCs w:val="22"/>
                <w:highlight w:val="none"/>
                <w:lang w:eastAsia="zh-CN"/>
              </w:rPr>
              <w:t>及工作流程</w:t>
            </w:r>
          </w:p>
        </w:tc>
        <w:tc>
          <w:tcPr>
            <w:tcW w:w="1276" w:type="dxa"/>
            <w:vAlign w:val="center"/>
          </w:tcPr>
          <w:p>
            <w:pPr>
              <w:wordWrap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4025" w:type="dxa"/>
            <w:vAlign w:val="center"/>
          </w:tcPr>
          <w:p>
            <w:pPr>
              <w:adjustRightInd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1、评审</w:t>
            </w:r>
            <w:r>
              <w:rPr>
                <w:rFonts w:hint="eastAsia" w:ascii="宋体" w:hAnsi="宋体" w:cs="宋体"/>
                <w:b/>
                <w:bCs/>
                <w:sz w:val="21"/>
                <w:szCs w:val="21"/>
                <w:highlight w:val="none"/>
                <w:lang w:val="en-US" w:eastAsia="zh-CN"/>
              </w:rPr>
              <w:t>内容</w:t>
            </w:r>
            <w:r>
              <w:rPr>
                <w:rFonts w:hint="eastAsia" w:ascii="宋体" w:hAnsi="宋体" w:eastAsia="宋体" w:cs="宋体"/>
                <w:b/>
                <w:bCs/>
                <w:sz w:val="21"/>
                <w:szCs w:val="21"/>
                <w:highlight w:val="none"/>
              </w:rPr>
              <w:t>：</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rPr>
              <w:t>评审委员会根据投标</w:t>
            </w:r>
            <w:r>
              <w:rPr>
                <w:rFonts w:hint="default" w:ascii="Times New Roman" w:hAnsi="Times New Roman" w:eastAsia="宋体" w:cs="Times New Roman"/>
                <w:color w:val="auto"/>
                <w:sz w:val="22"/>
                <w:szCs w:val="22"/>
                <w:highlight w:val="none"/>
                <w:lang w:val="en-US" w:eastAsia="zh-CN"/>
              </w:rPr>
              <w:t>人以图文形式说明对电梯各部件的保养方案、保养周期及工作流程</w:t>
            </w:r>
            <w:r>
              <w:rPr>
                <w:rFonts w:hint="default" w:ascii="Times New Roman" w:hAnsi="Times New Roman" w:eastAsia="宋体" w:cs="Times New Roman"/>
                <w:color w:val="auto"/>
                <w:sz w:val="22"/>
                <w:szCs w:val="22"/>
                <w:highlight w:val="none"/>
              </w:rPr>
              <w:t>等方面响应情况进行评审</w:t>
            </w:r>
            <w:r>
              <w:rPr>
                <w:rFonts w:hint="default" w:ascii="Times New Roman" w:hAnsi="Times New Roman" w:eastAsia="宋体" w:cs="Times New Roman"/>
                <w:color w:val="auto"/>
                <w:sz w:val="22"/>
                <w:szCs w:val="22"/>
                <w:highlight w:val="none"/>
                <w:lang w:eastAsia="zh-CN"/>
              </w:rPr>
              <w:t>。</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优良中差评分标准：</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（1）内容全面；</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（2）内容具体；</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（3）内容针对性强；</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（4）内容科学合理；</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（5）内容可操作性强。</w:t>
            </w:r>
          </w:p>
          <w:p>
            <w:pPr>
              <w:autoSpaceDE w:val="0"/>
              <w:autoSpaceDN w:val="0"/>
              <w:adjustRightInd w:val="0"/>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2、</w:t>
            </w:r>
            <w:r>
              <w:rPr>
                <w:rFonts w:hint="eastAsia" w:ascii="宋体" w:hAnsi="宋体" w:cs="宋体"/>
                <w:b/>
                <w:sz w:val="21"/>
                <w:szCs w:val="21"/>
                <w:highlight w:val="none"/>
                <w:lang w:val="en-US" w:eastAsia="zh-CN"/>
              </w:rPr>
              <w:t>评分标准</w:t>
            </w:r>
            <w:r>
              <w:rPr>
                <w:rFonts w:hint="eastAsia" w:ascii="宋体" w:hAnsi="宋体" w:eastAsia="宋体" w:cs="宋体"/>
                <w:b/>
                <w:sz w:val="21"/>
                <w:szCs w:val="21"/>
                <w:highlight w:val="none"/>
              </w:rPr>
              <w:t>：</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满足以上五项要求的评价为优，得</w:t>
            </w:r>
            <w:r>
              <w:rPr>
                <w:rFonts w:hint="eastAsia" w:ascii="Times New Roman" w:hAnsi="Times New Roman" w:eastAsia="宋体" w:cs="Times New Roman"/>
                <w:color w:val="auto"/>
                <w:sz w:val="22"/>
                <w:szCs w:val="22"/>
                <w:highlight w:val="none"/>
                <w:lang w:val="en-US" w:eastAsia="zh-CN"/>
              </w:rPr>
              <w:t>10</w:t>
            </w:r>
            <w:r>
              <w:rPr>
                <w:rFonts w:hint="default" w:ascii="Times New Roman" w:hAnsi="Times New Roman" w:eastAsia="宋体" w:cs="Times New Roman"/>
                <w:color w:val="auto"/>
                <w:sz w:val="22"/>
                <w:szCs w:val="22"/>
                <w:highlight w:val="none"/>
              </w:rPr>
              <w:t>分。</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满足以上四项要求的评价为良，得</w:t>
            </w:r>
            <w:r>
              <w:rPr>
                <w:rFonts w:hint="eastAsia" w:ascii="Times New Roman" w:hAnsi="Times New Roman" w:eastAsia="宋体" w:cs="Times New Roman"/>
                <w:color w:val="auto"/>
                <w:sz w:val="22"/>
                <w:szCs w:val="22"/>
                <w:highlight w:val="none"/>
                <w:lang w:val="en-US" w:eastAsia="zh-CN"/>
              </w:rPr>
              <w:t>6</w:t>
            </w:r>
            <w:r>
              <w:rPr>
                <w:rFonts w:hint="default" w:ascii="Times New Roman" w:hAnsi="Times New Roman" w:eastAsia="宋体" w:cs="Times New Roman"/>
                <w:color w:val="auto"/>
                <w:sz w:val="22"/>
                <w:szCs w:val="22"/>
                <w:highlight w:val="none"/>
              </w:rPr>
              <w:t>分。</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满足以上三项要求的评价为中，得</w:t>
            </w:r>
            <w:r>
              <w:rPr>
                <w:rFonts w:hint="eastAsia" w:ascii="Times New Roman" w:hAnsi="Times New Roman" w:eastAsia="宋体" w:cs="Times New Roman"/>
                <w:color w:val="auto"/>
                <w:sz w:val="22"/>
                <w:szCs w:val="22"/>
                <w:highlight w:val="none"/>
                <w:lang w:val="en-US" w:eastAsia="zh-CN"/>
              </w:rPr>
              <w:t>2</w:t>
            </w:r>
            <w:r>
              <w:rPr>
                <w:rFonts w:hint="default" w:ascii="Times New Roman" w:hAnsi="Times New Roman" w:eastAsia="宋体" w:cs="Times New Roman"/>
                <w:color w:val="auto"/>
                <w:sz w:val="22"/>
                <w:szCs w:val="22"/>
                <w:highlight w:val="none"/>
              </w:rPr>
              <w:t>分。</w:t>
            </w:r>
          </w:p>
          <w:p>
            <w:pPr>
              <w:wordWrap w:val="0"/>
              <w:rPr>
                <w:rFonts w:hint="eastAsia" w:ascii="宋体" w:hAnsi="宋体" w:eastAsia="宋体" w:cs="宋体"/>
                <w:snapToGrid w:val="0"/>
                <w:color w:val="000000"/>
                <w:kern w:val="0"/>
                <w:sz w:val="21"/>
                <w:szCs w:val="21"/>
                <w:highlight w:val="none"/>
              </w:rPr>
            </w:pPr>
            <w:r>
              <w:rPr>
                <w:rFonts w:hint="default" w:ascii="Times New Roman" w:hAnsi="Times New Roman" w:eastAsia="宋体" w:cs="Times New Roman"/>
                <w:color w:val="auto"/>
                <w:sz w:val="22"/>
                <w:szCs w:val="22"/>
                <w:highlight w:val="none"/>
              </w:rPr>
              <w:t>其它情况的评价为差，不得分。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63" w:type="dxa"/>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936" w:type="dxa"/>
            <w:vAlign w:val="center"/>
          </w:tcPr>
          <w:p>
            <w:pPr>
              <w:wordWrap w:val="0"/>
              <w:jc w:val="center"/>
              <w:rPr>
                <w:rFonts w:hint="eastAsia" w:ascii="宋体" w:hAnsi="宋体" w:eastAsia="宋体" w:cs="宋体"/>
                <w:sz w:val="21"/>
                <w:szCs w:val="21"/>
                <w:highlight w:val="none"/>
              </w:rPr>
            </w:pPr>
            <w:r>
              <w:rPr>
                <w:rFonts w:hint="eastAsia" w:cs="Times New Roman"/>
                <w:color w:val="auto"/>
                <w:sz w:val="22"/>
                <w:szCs w:val="22"/>
                <w:highlight w:val="none"/>
                <w:lang w:val="en-US" w:eastAsia="zh-CN"/>
              </w:rPr>
              <w:t>应急预案</w:t>
            </w:r>
          </w:p>
        </w:tc>
        <w:tc>
          <w:tcPr>
            <w:tcW w:w="1276" w:type="dxa"/>
            <w:vAlign w:val="center"/>
          </w:tcPr>
          <w:p>
            <w:pPr>
              <w:wordWrap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4025" w:type="dxa"/>
          </w:tcPr>
          <w:p>
            <w:pPr>
              <w:autoSpaceDE w:val="0"/>
              <w:autoSpaceDN w:val="0"/>
              <w:adjustRightInd w:val="0"/>
              <w:jc w:val="left"/>
              <w:rPr>
                <w:rFonts w:hint="eastAsia" w:ascii="宋体" w:hAnsi="宋体" w:eastAsia="宋体" w:cs="宋体"/>
                <w:b/>
                <w:kern w:val="0"/>
                <w:sz w:val="21"/>
                <w:szCs w:val="21"/>
                <w:highlight w:val="none"/>
                <w:lang w:val="zh-CN"/>
              </w:rPr>
            </w:pPr>
            <w:r>
              <w:rPr>
                <w:rFonts w:hint="eastAsia" w:ascii="宋体" w:hAnsi="宋体" w:eastAsia="宋体" w:cs="宋体"/>
                <w:b/>
                <w:kern w:val="0"/>
                <w:sz w:val="21"/>
                <w:szCs w:val="21"/>
                <w:highlight w:val="none"/>
                <w:lang w:val="zh-CN"/>
              </w:rPr>
              <w:t>1、</w:t>
            </w:r>
            <w:r>
              <w:rPr>
                <w:rFonts w:hint="eastAsia" w:ascii="宋体" w:hAnsi="宋体" w:eastAsia="宋体" w:cs="宋体"/>
                <w:b/>
                <w:sz w:val="21"/>
                <w:szCs w:val="21"/>
                <w:highlight w:val="none"/>
              </w:rPr>
              <w:t>评审内容</w:t>
            </w:r>
            <w:r>
              <w:rPr>
                <w:rFonts w:hint="eastAsia" w:ascii="宋体" w:hAnsi="宋体" w:eastAsia="宋体" w:cs="宋体"/>
                <w:b/>
                <w:kern w:val="0"/>
                <w:sz w:val="21"/>
                <w:szCs w:val="21"/>
                <w:highlight w:val="none"/>
                <w:lang w:val="zh-CN"/>
              </w:rPr>
              <w:t>：</w:t>
            </w:r>
          </w:p>
          <w:p>
            <w:pPr>
              <w:keepNext w:val="0"/>
              <w:keepLines w:val="0"/>
              <w:pageBreakBefore w:val="0"/>
              <w:widowControl/>
              <w:kinsoku/>
              <w:wordWrap/>
              <w:overflowPunct/>
              <w:topLinePunct w:val="0"/>
              <w:autoSpaceDE/>
              <w:autoSpaceDN/>
              <w:bidi w:val="0"/>
              <w:spacing w:line="360" w:lineRule="exact"/>
              <w:jc w:val="left"/>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rPr>
              <w:t>评审委员会根据投标</w:t>
            </w:r>
            <w:r>
              <w:rPr>
                <w:rFonts w:hint="default" w:ascii="Times New Roman" w:hAnsi="Times New Roman" w:eastAsia="宋体" w:cs="Times New Roman"/>
                <w:sz w:val="22"/>
                <w:szCs w:val="22"/>
                <w:highlight w:val="none"/>
                <w:lang w:val="en-US" w:eastAsia="zh-CN"/>
              </w:rPr>
              <w:t>人现场管理水平和作业安全方案</w:t>
            </w:r>
            <w:r>
              <w:rPr>
                <w:rFonts w:hint="eastAsia" w:ascii="Times New Roman" w:hAnsi="Times New Roman" w:eastAsia="宋体" w:cs="Times New Roman"/>
                <w:sz w:val="22"/>
                <w:szCs w:val="22"/>
                <w:highlight w:val="none"/>
                <w:lang w:val="en-US" w:eastAsia="zh-CN"/>
              </w:rPr>
              <w:t>（包括但不限于对</w:t>
            </w:r>
            <w:r>
              <w:rPr>
                <w:rFonts w:hint="default" w:ascii="Times New Roman" w:hAnsi="Times New Roman" w:eastAsia="宋体" w:cs="Times New Roman"/>
                <w:sz w:val="22"/>
                <w:szCs w:val="22"/>
                <w:highlight w:val="none"/>
              </w:rPr>
              <w:t>重点考察投标人提供</w:t>
            </w:r>
            <w:r>
              <w:rPr>
                <w:rFonts w:hint="eastAsia" w:cs="Times New Roman"/>
                <w:sz w:val="22"/>
                <w:szCs w:val="22"/>
                <w:highlight w:val="none"/>
                <w:lang w:val="en-US" w:eastAsia="zh-CN"/>
              </w:rPr>
              <w:t>应急预案</w:t>
            </w:r>
            <w:r>
              <w:rPr>
                <w:rFonts w:hint="eastAsia" w:ascii="Times New Roman" w:hAnsi="Times New Roman" w:eastAsia="宋体" w:cs="Times New Roman"/>
                <w:sz w:val="22"/>
                <w:szCs w:val="22"/>
                <w:highlight w:val="none"/>
                <w:lang w:val="en-US" w:eastAsia="zh-CN"/>
              </w:rPr>
              <w:t>）</w:t>
            </w:r>
            <w:r>
              <w:rPr>
                <w:rFonts w:hint="default" w:ascii="Times New Roman" w:hAnsi="Times New Roman" w:eastAsia="宋体" w:cs="Times New Roman"/>
                <w:color w:val="000000"/>
                <w:kern w:val="0"/>
                <w:sz w:val="22"/>
                <w:szCs w:val="22"/>
                <w:lang w:val="en-US" w:eastAsia="zh-CN"/>
              </w:rPr>
              <w:t>的</w:t>
            </w:r>
            <w:r>
              <w:rPr>
                <w:rFonts w:hint="default" w:ascii="Times New Roman" w:hAnsi="Times New Roman" w:eastAsia="宋体" w:cs="Times New Roman"/>
                <w:color w:val="000000"/>
                <w:kern w:val="0"/>
                <w:sz w:val="22"/>
                <w:szCs w:val="22"/>
              </w:rPr>
              <w:t>响应情况</w:t>
            </w:r>
            <w:r>
              <w:rPr>
                <w:rFonts w:hint="default" w:ascii="Times New Roman" w:hAnsi="Times New Roman" w:eastAsia="宋体" w:cs="Times New Roman"/>
                <w:sz w:val="22"/>
                <w:szCs w:val="22"/>
              </w:rPr>
              <w:t>进行评审。</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优良中差评分标准：</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（1）内容全面；</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（2）内容具体；</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（3）内容针对性强；</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（4）内容科学合理；</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（5）内容可操作性强。</w:t>
            </w:r>
          </w:p>
          <w:p>
            <w:pPr>
              <w:autoSpaceDE w:val="0"/>
              <w:autoSpaceDN w:val="0"/>
              <w:adjustRightInd w:val="0"/>
              <w:jc w:val="left"/>
              <w:rPr>
                <w:rFonts w:hint="eastAsia" w:ascii="宋体" w:hAnsi="宋体" w:eastAsia="宋体" w:cs="宋体"/>
                <w:b/>
                <w:kern w:val="0"/>
                <w:sz w:val="21"/>
                <w:szCs w:val="21"/>
                <w:highlight w:val="none"/>
                <w:lang w:val="zh-CN"/>
              </w:rPr>
            </w:pPr>
            <w:r>
              <w:rPr>
                <w:rFonts w:hint="eastAsia" w:ascii="宋体" w:hAnsi="宋体" w:eastAsia="宋体" w:cs="宋体"/>
                <w:b/>
                <w:kern w:val="0"/>
                <w:sz w:val="21"/>
                <w:szCs w:val="21"/>
                <w:highlight w:val="none"/>
                <w:lang w:val="zh-CN"/>
              </w:rPr>
              <w:t>2、评</w:t>
            </w:r>
            <w:r>
              <w:rPr>
                <w:rFonts w:hint="eastAsia" w:ascii="宋体" w:hAnsi="宋体" w:eastAsia="宋体" w:cs="宋体"/>
                <w:b/>
                <w:sz w:val="21"/>
                <w:szCs w:val="21"/>
                <w:highlight w:val="none"/>
              </w:rPr>
              <w:t>分</w:t>
            </w:r>
            <w:r>
              <w:rPr>
                <w:rFonts w:hint="eastAsia" w:ascii="宋体" w:hAnsi="宋体" w:eastAsia="宋体" w:cs="宋体"/>
                <w:b/>
                <w:kern w:val="0"/>
                <w:sz w:val="21"/>
                <w:szCs w:val="21"/>
                <w:highlight w:val="none"/>
                <w:lang w:val="zh-CN"/>
              </w:rPr>
              <w:t>标准：</w:t>
            </w:r>
          </w:p>
          <w:p>
            <w:pPr>
              <w:rPr>
                <w:rFonts w:hint="eastAsia" w:ascii="宋体" w:hAnsi="宋体" w:eastAsia="宋体" w:cs="宋体"/>
                <w:snapToGrid w:val="0"/>
                <w:color w:val="000000"/>
                <w:kern w:val="0"/>
                <w:sz w:val="21"/>
                <w:szCs w:val="21"/>
                <w:highlight w:val="none"/>
              </w:rPr>
            </w:pPr>
            <w:r>
              <w:rPr>
                <w:rFonts w:hint="eastAsia" w:ascii="宋体" w:hAnsi="宋体" w:eastAsia="宋体" w:cs="宋体"/>
                <w:sz w:val="21"/>
                <w:szCs w:val="21"/>
                <w:highlight w:val="none"/>
              </w:rPr>
              <w:t>评审委员会根据投标人响应的情况进行横向比较，方案为优得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分，方案为良得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分，方案为中得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分，方案为差或不提供不得分。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63" w:type="dxa"/>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936" w:type="dxa"/>
            <w:vAlign w:val="center"/>
          </w:tcPr>
          <w:p>
            <w:pPr>
              <w:wordWrap w:val="0"/>
              <w:jc w:val="center"/>
              <w:rPr>
                <w:rFonts w:hint="eastAsia" w:ascii="宋体" w:hAnsi="宋体" w:eastAsia="宋体" w:cs="宋体"/>
                <w:sz w:val="21"/>
                <w:szCs w:val="21"/>
                <w:highlight w:val="none"/>
              </w:rPr>
            </w:pPr>
            <w:r>
              <w:rPr>
                <w:rFonts w:hint="default" w:ascii="Times New Roman" w:hAnsi="Times New Roman" w:eastAsia="宋体" w:cs="Times New Roman"/>
                <w:color w:val="auto"/>
                <w:sz w:val="22"/>
                <w:szCs w:val="22"/>
                <w:highlight w:val="none"/>
              </w:rPr>
              <w:t>技术水平</w:t>
            </w:r>
          </w:p>
        </w:tc>
        <w:tc>
          <w:tcPr>
            <w:tcW w:w="1276" w:type="dxa"/>
            <w:vAlign w:val="center"/>
          </w:tcPr>
          <w:p>
            <w:pPr>
              <w:wordWrap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4025" w:type="dxa"/>
          </w:tcPr>
          <w:p>
            <w:pPr>
              <w:autoSpaceDE w:val="0"/>
              <w:autoSpaceDN w:val="0"/>
              <w:adjustRightInd w:val="0"/>
              <w:jc w:val="left"/>
              <w:rPr>
                <w:rFonts w:hint="eastAsia" w:ascii="宋体" w:hAnsi="宋体" w:eastAsia="宋体" w:cs="宋体"/>
                <w:b/>
                <w:kern w:val="0"/>
                <w:sz w:val="21"/>
                <w:szCs w:val="21"/>
                <w:highlight w:val="none"/>
                <w:lang w:val="zh-CN"/>
              </w:rPr>
            </w:pPr>
            <w:r>
              <w:rPr>
                <w:rFonts w:hint="eastAsia" w:ascii="宋体" w:hAnsi="宋体" w:eastAsia="宋体" w:cs="宋体"/>
                <w:b/>
                <w:kern w:val="0"/>
                <w:sz w:val="21"/>
                <w:szCs w:val="21"/>
                <w:highlight w:val="none"/>
                <w:lang w:val="zh-CN"/>
              </w:rPr>
              <w:t>1、</w:t>
            </w:r>
            <w:r>
              <w:rPr>
                <w:rFonts w:hint="eastAsia" w:ascii="宋体" w:hAnsi="宋体" w:eastAsia="宋体" w:cs="宋体"/>
                <w:b/>
                <w:sz w:val="21"/>
                <w:szCs w:val="21"/>
                <w:highlight w:val="none"/>
              </w:rPr>
              <w:t>评审内容</w:t>
            </w:r>
            <w:r>
              <w:rPr>
                <w:rFonts w:hint="eastAsia" w:ascii="宋体" w:hAnsi="宋体" w:eastAsia="宋体" w:cs="宋体"/>
                <w:b/>
                <w:kern w:val="0"/>
                <w:sz w:val="21"/>
                <w:szCs w:val="21"/>
                <w:highlight w:val="none"/>
                <w:lang w:val="zh-CN"/>
              </w:rPr>
              <w:t>：</w:t>
            </w:r>
          </w:p>
          <w:p>
            <w:pPr>
              <w:keepNext w:val="0"/>
              <w:keepLines w:val="0"/>
              <w:pageBreakBefore w:val="0"/>
              <w:widowControl/>
              <w:kinsoku/>
              <w:wordWrap/>
              <w:overflowPunct/>
              <w:topLinePunct w:val="0"/>
              <w:autoSpaceDE/>
              <w:autoSpaceDN/>
              <w:bidi w:val="0"/>
              <w:spacing w:line="360" w:lineRule="exact"/>
              <w:jc w:val="left"/>
              <w:rPr>
                <w:rFonts w:hint="eastAsia"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rPr>
              <w:t>技术队伍团队需具备足够的技术能力和良好的综合素质，以团队成员经验资质及经验作为评审标准</w:t>
            </w:r>
            <w:r>
              <w:rPr>
                <w:rFonts w:hint="eastAsia" w:ascii="Times New Roman" w:hAnsi="Times New Roman" w:eastAsia="宋体" w:cs="Times New Roman"/>
                <w:sz w:val="22"/>
                <w:szCs w:val="22"/>
                <w:highlight w:val="none"/>
                <w:lang w:eastAsia="zh-CN"/>
              </w:rPr>
              <w:t>。</w:t>
            </w:r>
          </w:p>
          <w:p>
            <w:pPr>
              <w:keepNext w:val="0"/>
              <w:keepLines w:val="0"/>
              <w:pageBreakBefore w:val="0"/>
              <w:widowControl/>
              <w:kinsoku/>
              <w:wordWrap/>
              <w:overflowPunct/>
              <w:topLinePunct w:val="0"/>
              <w:autoSpaceDE/>
              <w:autoSpaceDN/>
              <w:bidi w:val="0"/>
              <w:spacing w:line="360" w:lineRule="exact"/>
              <w:jc w:val="left"/>
              <w:rPr>
                <w:rFonts w:hint="eastAsia"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1</w:t>
            </w: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rPr>
              <w:t>投标人拟安排的本项目</w:t>
            </w:r>
            <w:r>
              <w:rPr>
                <w:rFonts w:hint="eastAsia" w:ascii="Times New Roman" w:hAnsi="Times New Roman" w:eastAsia="宋体" w:cs="Times New Roman"/>
                <w:sz w:val="22"/>
                <w:szCs w:val="22"/>
                <w:highlight w:val="none"/>
                <w:lang w:val="en-US" w:eastAsia="zh-CN"/>
              </w:rPr>
              <w:t>负责人需同时具有本科及以上学历、</w:t>
            </w:r>
            <w:r>
              <w:rPr>
                <w:rFonts w:hint="eastAsia" w:ascii="Times New Roman" w:hAnsi="Times New Roman" w:eastAsia="宋体" w:cs="Times New Roman"/>
                <w:sz w:val="22"/>
                <w:szCs w:val="22"/>
                <w:highlight w:val="none"/>
              </w:rPr>
              <w:t>行政部门颁发的</w:t>
            </w: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安全生产考核合格证书</w:t>
            </w: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安全管理和作业人员证</w:t>
            </w: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作业项目为T</w:t>
            </w: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rPr>
              <w:t xml:space="preserve">的得 </w:t>
            </w:r>
            <w:r>
              <w:rPr>
                <w:rFonts w:hint="eastAsia" w:ascii="Times New Roman" w:hAnsi="Times New Roman" w:eastAsia="宋体" w:cs="Times New Roman"/>
                <w:sz w:val="22"/>
                <w:szCs w:val="22"/>
                <w:highlight w:val="none"/>
                <w:lang w:val="en-US" w:eastAsia="zh-CN"/>
              </w:rPr>
              <w:t>5</w:t>
            </w:r>
            <w:r>
              <w:rPr>
                <w:rFonts w:hint="eastAsia" w:ascii="Times New Roman" w:hAnsi="Times New Roman" w:eastAsia="宋体" w:cs="Times New Roman"/>
                <w:sz w:val="22"/>
                <w:szCs w:val="22"/>
                <w:highlight w:val="none"/>
              </w:rPr>
              <w:t xml:space="preserve">分； </w:t>
            </w:r>
          </w:p>
          <w:p>
            <w:pPr>
              <w:keepNext w:val="0"/>
              <w:keepLines w:val="0"/>
              <w:pageBreakBefore w:val="0"/>
              <w:widowControl/>
              <w:kinsoku/>
              <w:wordWrap/>
              <w:overflowPunct/>
              <w:topLinePunct w:val="0"/>
              <w:autoSpaceDE/>
              <w:autoSpaceDN/>
              <w:bidi w:val="0"/>
              <w:spacing w:line="360" w:lineRule="exact"/>
              <w:jc w:val="left"/>
              <w:rPr>
                <w:rFonts w:hint="eastAsia"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2</w:t>
            </w: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rPr>
              <w:t>投标人拟安排的本项目</w:t>
            </w:r>
            <w:r>
              <w:rPr>
                <w:rFonts w:hint="eastAsia" w:ascii="Times New Roman" w:hAnsi="Times New Roman" w:eastAsia="宋体" w:cs="Times New Roman"/>
                <w:sz w:val="22"/>
                <w:szCs w:val="22"/>
                <w:highlight w:val="none"/>
                <w:lang w:val="en-US" w:eastAsia="zh-CN"/>
              </w:rPr>
              <w:t>维保</w:t>
            </w:r>
            <w:r>
              <w:rPr>
                <w:rFonts w:hint="eastAsia" w:ascii="Times New Roman" w:hAnsi="Times New Roman" w:eastAsia="宋体" w:cs="Times New Roman"/>
                <w:sz w:val="22"/>
                <w:szCs w:val="22"/>
                <w:highlight w:val="none"/>
              </w:rPr>
              <w:t>主管</w:t>
            </w:r>
            <w:r>
              <w:rPr>
                <w:rFonts w:hint="eastAsia" w:ascii="Times New Roman" w:hAnsi="Times New Roman" w:eastAsia="宋体" w:cs="Times New Roman"/>
                <w:sz w:val="22"/>
                <w:szCs w:val="22"/>
                <w:highlight w:val="none"/>
                <w:lang w:val="en-US" w:eastAsia="zh-CN"/>
              </w:rPr>
              <w:t>同时</w:t>
            </w:r>
            <w:r>
              <w:rPr>
                <w:rFonts w:hint="eastAsia" w:ascii="Times New Roman" w:hAnsi="Times New Roman" w:eastAsia="宋体" w:cs="Times New Roman"/>
                <w:sz w:val="22"/>
                <w:szCs w:val="22"/>
                <w:highlight w:val="none"/>
              </w:rPr>
              <w:t>具有</w:t>
            </w:r>
            <w:r>
              <w:rPr>
                <w:rFonts w:hint="eastAsia" w:ascii="Times New Roman" w:hAnsi="Times New Roman" w:eastAsia="宋体" w:cs="Times New Roman"/>
                <w:sz w:val="22"/>
                <w:szCs w:val="22"/>
                <w:highlight w:val="none"/>
                <w:lang w:val="en-US" w:eastAsia="zh-CN"/>
              </w:rPr>
              <w:t>电梯的</w:t>
            </w: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安全管理和作业人员证</w:t>
            </w: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作业项目为T</w:t>
            </w: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职业资格证书</w:t>
            </w: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中级工及以上，职业资格为电梯安装维修</w:t>
            </w: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特种设备检验检测证</w:t>
            </w: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项目为电梯检验</w:t>
            </w: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得5分</w:t>
            </w:r>
            <w:r>
              <w:rPr>
                <w:rFonts w:hint="eastAsia" w:ascii="Times New Roman" w:hAnsi="Times New Roman" w:eastAsia="宋体" w:cs="Times New Roman"/>
                <w:sz w:val="22"/>
                <w:szCs w:val="22"/>
                <w:highlight w:val="none"/>
              </w:rPr>
              <w:t xml:space="preserve">； </w:t>
            </w:r>
          </w:p>
          <w:p>
            <w:pPr>
              <w:autoSpaceDE w:val="0"/>
              <w:autoSpaceDN w:val="0"/>
              <w:adjustRightInd w:val="0"/>
              <w:jc w:val="left"/>
              <w:rPr>
                <w:rFonts w:hint="eastAsia" w:ascii="宋体" w:hAnsi="宋体" w:eastAsia="宋体" w:cs="宋体"/>
                <w:b/>
                <w:kern w:val="0"/>
                <w:sz w:val="21"/>
                <w:szCs w:val="21"/>
                <w:highlight w:val="none"/>
                <w:lang w:val="zh-CN"/>
              </w:rPr>
            </w:pPr>
            <w:r>
              <w:rPr>
                <w:rFonts w:hint="eastAsia" w:ascii="宋体" w:hAnsi="宋体" w:eastAsia="宋体" w:cs="宋体"/>
                <w:b/>
                <w:kern w:val="0"/>
                <w:sz w:val="21"/>
                <w:szCs w:val="21"/>
                <w:highlight w:val="none"/>
                <w:lang w:val="zh-CN"/>
              </w:rPr>
              <w:t>2、评</w:t>
            </w:r>
            <w:r>
              <w:rPr>
                <w:rFonts w:hint="eastAsia" w:ascii="宋体" w:hAnsi="宋体" w:eastAsia="宋体" w:cs="宋体"/>
                <w:b/>
                <w:sz w:val="21"/>
                <w:szCs w:val="21"/>
                <w:highlight w:val="none"/>
              </w:rPr>
              <w:t>分</w:t>
            </w:r>
            <w:r>
              <w:rPr>
                <w:rFonts w:hint="eastAsia" w:ascii="宋体" w:hAnsi="宋体" w:eastAsia="宋体" w:cs="宋体"/>
                <w:b/>
                <w:kern w:val="0"/>
                <w:sz w:val="21"/>
                <w:szCs w:val="21"/>
                <w:highlight w:val="none"/>
                <w:lang w:val="zh-CN"/>
              </w:rPr>
              <w:t>标准：</w:t>
            </w:r>
          </w:p>
          <w:p>
            <w:pPr>
              <w:keepNext w:val="0"/>
              <w:keepLines w:val="0"/>
              <w:pageBreakBefore w:val="0"/>
              <w:widowControl/>
              <w:kinsoku/>
              <w:wordWrap/>
              <w:overflowPunct/>
              <w:topLinePunct w:val="0"/>
              <w:autoSpaceDE/>
              <w:autoSpaceDN/>
              <w:bidi w:val="0"/>
              <w:spacing w:line="360" w:lineRule="exact"/>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需提供</w:t>
            </w:r>
            <w:r>
              <w:rPr>
                <w:rFonts w:hint="eastAsia" w:ascii="Times New Roman" w:hAnsi="Times New Roman" w:eastAsia="宋体" w:cs="Times New Roman"/>
                <w:sz w:val="22"/>
                <w:szCs w:val="22"/>
                <w:highlight w:val="none"/>
                <w:lang w:eastAsia="zh-CN"/>
              </w:rPr>
              <w:t>资格证书</w:t>
            </w:r>
            <w:r>
              <w:rPr>
                <w:rFonts w:hint="default" w:ascii="Times New Roman" w:hAnsi="Times New Roman" w:eastAsia="宋体" w:cs="Times New Roman"/>
                <w:sz w:val="22"/>
                <w:szCs w:val="22"/>
                <w:highlight w:val="none"/>
              </w:rPr>
              <w:t>等证明文件</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未提供的，不得分。</w:t>
            </w:r>
          </w:p>
          <w:p>
            <w:pPr>
              <w:rPr>
                <w:rFonts w:hint="eastAsia" w:ascii="宋体" w:hAnsi="宋体" w:eastAsia="宋体" w:cs="宋体"/>
                <w:snapToGrid w:val="0"/>
                <w:color w:val="000000"/>
                <w:kern w:val="0"/>
                <w:sz w:val="21"/>
                <w:szCs w:val="21"/>
                <w:highlight w:val="none"/>
              </w:rPr>
            </w:pPr>
            <w:r>
              <w:rPr>
                <w:rFonts w:hint="default" w:ascii="Times New Roman" w:hAnsi="Times New Roman" w:eastAsia="宋体" w:cs="Times New Roman"/>
                <w:sz w:val="22"/>
                <w:szCs w:val="22"/>
                <w:highlight w:val="none"/>
              </w:rPr>
              <w:t>评分中出现无证明资料或无法凭所提供资料判断是否得分的情况，一律作不得分处理。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63" w:type="dxa"/>
            <w:vAlign w:val="center"/>
          </w:tcPr>
          <w:p>
            <w:pPr>
              <w:spacing w:line="36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2936" w:type="dxa"/>
            <w:vAlign w:val="center"/>
          </w:tcPr>
          <w:p>
            <w:pPr>
              <w:wordWrap w:val="0"/>
              <w:jc w:val="center"/>
              <w:rPr>
                <w:rFonts w:hint="eastAsia" w:ascii="宋体" w:hAnsi="宋体" w:eastAsia="宋体" w:cs="宋体"/>
                <w:sz w:val="21"/>
                <w:szCs w:val="21"/>
                <w:highlight w:val="none"/>
              </w:rPr>
            </w:pPr>
            <w:r>
              <w:rPr>
                <w:rFonts w:hint="eastAsia" w:asciiTheme="minorEastAsia" w:hAnsiTheme="minorEastAsia" w:eastAsiaTheme="minorEastAsia"/>
                <w:szCs w:val="21"/>
              </w:rPr>
              <w:t>自主知识产权产品（创新、设计</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物联网科技</w:t>
            </w:r>
            <w:r>
              <w:rPr>
                <w:rFonts w:hint="eastAsia" w:asciiTheme="minorEastAsia" w:hAnsiTheme="minorEastAsia" w:eastAsiaTheme="minorEastAsia"/>
                <w:szCs w:val="21"/>
              </w:rPr>
              <w:t>）情况</w:t>
            </w:r>
          </w:p>
        </w:tc>
        <w:tc>
          <w:tcPr>
            <w:tcW w:w="1276" w:type="dxa"/>
            <w:vAlign w:val="center"/>
          </w:tcPr>
          <w:p>
            <w:pPr>
              <w:wordWrap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4025" w:type="dxa"/>
          </w:tcPr>
          <w:p>
            <w:pPr>
              <w:autoSpaceDE w:val="0"/>
              <w:autoSpaceDN w:val="0"/>
              <w:adjustRightInd w:val="0"/>
              <w:jc w:val="left"/>
              <w:rPr>
                <w:rFonts w:hint="eastAsia" w:ascii="宋体" w:hAnsi="宋体" w:eastAsia="宋体" w:cs="宋体"/>
                <w:b/>
                <w:kern w:val="0"/>
                <w:sz w:val="21"/>
                <w:szCs w:val="21"/>
                <w:highlight w:val="none"/>
                <w:lang w:val="zh-CN"/>
              </w:rPr>
            </w:pPr>
            <w:r>
              <w:rPr>
                <w:rFonts w:hint="eastAsia" w:ascii="宋体" w:hAnsi="宋体" w:eastAsia="宋体" w:cs="宋体"/>
                <w:b/>
                <w:kern w:val="0"/>
                <w:sz w:val="21"/>
                <w:szCs w:val="21"/>
                <w:highlight w:val="none"/>
                <w:lang w:val="zh-CN"/>
              </w:rPr>
              <w:t>1、</w:t>
            </w:r>
            <w:r>
              <w:rPr>
                <w:rFonts w:hint="eastAsia" w:ascii="宋体" w:hAnsi="宋体" w:eastAsia="宋体" w:cs="宋体"/>
                <w:b/>
                <w:sz w:val="21"/>
                <w:szCs w:val="21"/>
                <w:highlight w:val="none"/>
              </w:rPr>
              <w:t>评审内容</w:t>
            </w:r>
            <w:r>
              <w:rPr>
                <w:rFonts w:hint="eastAsia" w:ascii="宋体" w:hAnsi="宋体" w:eastAsia="宋体" w:cs="宋体"/>
                <w:b/>
                <w:kern w:val="0"/>
                <w:sz w:val="21"/>
                <w:szCs w:val="21"/>
                <w:highlight w:val="none"/>
                <w:lang w:val="zh-CN"/>
              </w:rPr>
              <w:t>：</w:t>
            </w:r>
          </w:p>
          <w:p>
            <w:pPr>
              <w:keepNext w:val="0"/>
              <w:keepLines w:val="0"/>
              <w:pageBreakBefore w:val="0"/>
              <w:widowControl/>
              <w:kinsoku/>
              <w:wordWrap/>
              <w:overflowPunct/>
              <w:topLinePunct w:val="0"/>
              <w:autoSpaceDE/>
              <w:autoSpaceDN/>
              <w:bidi w:val="0"/>
              <w:spacing w:line="360" w:lineRule="exact"/>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公司有独立开发的数字化平台</w:t>
            </w:r>
            <w:r>
              <w:rPr>
                <w:rFonts w:hint="eastAsia" w:cs="Times New Roman"/>
                <w:color w:val="auto"/>
                <w:sz w:val="22"/>
                <w:szCs w:val="22"/>
                <w:highlight w:val="none"/>
                <w:lang w:val="en-US" w:eastAsia="zh-CN"/>
              </w:rPr>
              <w:t>并且已和政府系统对接</w:t>
            </w:r>
            <w:r>
              <w:rPr>
                <w:rFonts w:hint="eastAsia" w:ascii="Times New Roman" w:hAnsi="Times New Roman" w:eastAsia="宋体" w:cs="Times New Roman"/>
                <w:color w:val="auto"/>
                <w:sz w:val="22"/>
                <w:szCs w:val="22"/>
                <w:highlight w:val="none"/>
              </w:rPr>
              <w:t>，在</w:t>
            </w:r>
            <w:r>
              <w:rPr>
                <w:rFonts w:hint="eastAsia" w:ascii="Times New Roman" w:hAnsi="Times New Roman" w:eastAsia="宋体" w:cs="Times New Roman"/>
                <w:color w:val="auto"/>
                <w:sz w:val="22"/>
                <w:szCs w:val="22"/>
                <w:highlight w:val="none"/>
                <w:lang w:val="en-US" w:eastAsia="zh-CN"/>
              </w:rPr>
              <w:t>日常工作中推广使用得满分</w:t>
            </w:r>
            <w:r>
              <w:rPr>
                <w:rFonts w:hint="eastAsia" w:ascii="Times New Roman" w:hAnsi="Times New Roman" w:eastAsia="宋体" w:cs="Times New Roman"/>
                <w:color w:val="auto"/>
                <w:sz w:val="22"/>
                <w:szCs w:val="22"/>
                <w:highlight w:val="none"/>
              </w:rPr>
              <w:t>，无则不得分。</w:t>
            </w:r>
          </w:p>
          <w:p>
            <w:pPr>
              <w:autoSpaceDE w:val="0"/>
              <w:autoSpaceDN w:val="0"/>
              <w:adjustRightInd w:val="0"/>
              <w:jc w:val="left"/>
              <w:rPr>
                <w:rFonts w:hint="eastAsia" w:ascii="宋体" w:hAnsi="宋体" w:eastAsia="宋体" w:cs="宋体"/>
                <w:b/>
                <w:kern w:val="0"/>
                <w:sz w:val="21"/>
                <w:szCs w:val="21"/>
                <w:highlight w:val="none"/>
                <w:lang w:val="zh-CN"/>
              </w:rPr>
            </w:pPr>
            <w:r>
              <w:rPr>
                <w:rFonts w:hint="eastAsia" w:ascii="宋体" w:hAnsi="宋体" w:eastAsia="宋体" w:cs="宋体"/>
                <w:b/>
                <w:kern w:val="0"/>
                <w:sz w:val="21"/>
                <w:szCs w:val="21"/>
                <w:highlight w:val="none"/>
                <w:lang w:val="zh-CN"/>
              </w:rPr>
              <w:t>2、评</w:t>
            </w:r>
            <w:r>
              <w:rPr>
                <w:rFonts w:hint="eastAsia" w:ascii="宋体" w:hAnsi="宋体" w:eastAsia="宋体" w:cs="宋体"/>
                <w:b/>
                <w:sz w:val="21"/>
                <w:szCs w:val="21"/>
                <w:highlight w:val="none"/>
              </w:rPr>
              <w:t>分</w:t>
            </w:r>
            <w:r>
              <w:rPr>
                <w:rFonts w:hint="eastAsia" w:ascii="宋体" w:hAnsi="宋体" w:eastAsia="宋体" w:cs="宋体"/>
                <w:b/>
                <w:kern w:val="0"/>
                <w:sz w:val="21"/>
                <w:szCs w:val="21"/>
                <w:highlight w:val="none"/>
                <w:lang w:val="zh-CN"/>
              </w:rPr>
              <w:t>标准：</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w:t>
            </w:r>
            <w:r>
              <w:rPr>
                <w:rFonts w:hint="eastAsia" w:cs="Times New Roman"/>
                <w:sz w:val="22"/>
                <w:szCs w:val="22"/>
                <w:highlight w:val="none"/>
                <w:lang w:val="en-US" w:eastAsia="zh-CN"/>
              </w:rPr>
              <w:t>提供平台介绍得1分</w:t>
            </w:r>
            <w:r>
              <w:rPr>
                <w:rFonts w:hint="default" w:ascii="Times New Roman" w:hAnsi="Times New Roman" w:eastAsia="宋体" w:cs="Times New Roman"/>
                <w:sz w:val="22"/>
                <w:szCs w:val="22"/>
                <w:highlight w:val="none"/>
              </w:rPr>
              <w:t>；</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w:t>
            </w:r>
            <w:r>
              <w:rPr>
                <w:rFonts w:hint="eastAsia" w:cs="Times New Roman"/>
                <w:sz w:val="22"/>
                <w:szCs w:val="22"/>
                <w:highlight w:val="none"/>
                <w:lang w:val="en-US" w:eastAsia="zh-CN"/>
              </w:rPr>
              <w:t>提供应用情况截图得1分</w:t>
            </w:r>
            <w:r>
              <w:rPr>
                <w:rFonts w:hint="default" w:ascii="Times New Roman" w:hAnsi="Times New Roman" w:eastAsia="宋体" w:cs="Times New Roman"/>
                <w:sz w:val="22"/>
                <w:szCs w:val="22"/>
                <w:highlight w:val="none"/>
              </w:rPr>
              <w:t>；</w:t>
            </w:r>
          </w:p>
          <w:p>
            <w:pPr>
              <w:keepNext w:val="0"/>
              <w:keepLines w:val="0"/>
              <w:pageBreakBefore w:val="0"/>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w:t>
            </w:r>
            <w:r>
              <w:rPr>
                <w:rFonts w:hint="eastAsia" w:cs="Times New Roman"/>
                <w:sz w:val="22"/>
                <w:szCs w:val="22"/>
                <w:highlight w:val="none"/>
                <w:lang w:val="en-US" w:eastAsia="zh-CN"/>
              </w:rPr>
              <w:t>提供</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软件著作权登记证书》</w:t>
            </w:r>
            <w:r>
              <w:rPr>
                <w:rFonts w:hint="eastAsia" w:cs="Times New Roman"/>
                <w:color w:val="auto"/>
                <w:sz w:val="22"/>
                <w:szCs w:val="22"/>
                <w:highlight w:val="none"/>
                <w:lang w:val="en-US" w:eastAsia="zh-CN"/>
              </w:rPr>
              <w:t>1个得1分，最高得8分</w:t>
            </w:r>
            <w:r>
              <w:rPr>
                <w:rFonts w:hint="default" w:ascii="Times New Roman" w:hAnsi="Times New Roman" w:eastAsia="宋体" w:cs="Times New Roman"/>
                <w:sz w:val="22"/>
                <w:szCs w:val="22"/>
                <w:highlight w:val="none"/>
              </w:rPr>
              <w:t>；</w:t>
            </w:r>
          </w:p>
        </w:tc>
      </w:tr>
    </w:tbl>
    <w:p>
      <w:pPr>
        <w:widowControl/>
        <w:jc w:val="left"/>
        <w:rPr>
          <w:rFonts w:ascii="华文中宋" w:hAnsi="华文中宋" w:eastAsia="华文中宋"/>
          <w:sz w:val="36"/>
          <w:szCs w:val="36"/>
        </w:rPr>
      </w:pPr>
    </w:p>
    <w:p>
      <w:pPr>
        <w:spacing w:before="156" w:beforeLines="50" w:after="156" w:afterLines="50"/>
        <w:jc w:val="center"/>
        <w:rPr>
          <w:rFonts w:ascii="华文中宋" w:hAnsi="华文中宋" w:eastAsia="华文中宋"/>
          <w:sz w:val="36"/>
          <w:szCs w:val="36"/>
        </w:rPr>
      </w:pPr>
    </w:p>
    <w:p>
      <w:pPr>
        <w:spacing w:before="156" w:beforeLines="50" w:after="156" w:afterLines="50"/>
        <w:jc w:val="center"/>
        <w:rPr>
          <w:rFonts w:hint="eastAsia" w:ascii="华文中宋" w:hAnsi="华文中宋" w:eastAsia="华文中宋"/>
          <w:sz w:val="36"/>
          <w:szCs w:val="36"/>
        </w:rPr>
      </w:pPr>
    </w:p>
    <w:p>
      <w:pPr>
        <w:spacing w:before="156" w:beforeLines="50" w:after="156" w:afterLines="50"/>
        <w:jc w:val="center"/>
        <w:rPr>
          <w:rFonts w:hint="eastAsia" w:ascii="华文中宋" w:hAnsi="华文中宋" w:eastAsia="华文中宋"/>
          <w:sz w:val="36"/>
          <w:szCs w:val="36"/>
        </w:rPr>
      </w:pPr>
    </w:p>
    <w:p>
      <w:pPr>
        <w:spacing w:before="156" w:beforeLines="50" w:after="156" w:afterLines="50"/>
        <w:jc w:val="center"/>
        <w:rPr>
          <w:rFonts w:hint="eastAsia" w:ascii="华文中宋" w:hAnsi="华文中宋" w:eastAsia="华文中宋"/>
          <w:sz w:val="36"/>
          <w:szCs w:val="36"/>
        </w:rPr>
      </w:pPr>
    </w:p>
    <w:p>
      <w:pPr>
        <w:spacing w:before="156" w:beforeLines="50" w:after="156" w:afterLines="50"/>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投标文件</w:t>
      </w:r>
    </w:p>
    <w:p>
      <w:pPr>
        <w:jc w:val="center"/>
        <w:rPr>
          <w:b/>
          <w:bCs/>
          <w:color w:val="auto"/>
          <w:sz w:val="32"/>
          <w:szCs w:val="32"/>
          <w:highlight w:val="none"/>
        </w:rPr>
      </w:pPr>
      <w:r>
        <w:rPr>
          <w:b/>
          <w:bCs/>
          <w:color w:val="auto"/>
          <w:sz w:val="32"/>
          <w:szCs w:val="32"/>
          <w:highlight w:val="none"/>
        </w:rPr>
        <w:t>投标文件目录</w:t>
      </w:r>
    </w:p>
    <w:p>
      <w:pPr>
        <w:pStyle w:val="2"/>
        <w:numPr>
          <w:ilvl w:val="0"/>
          <w:numId w:val="4"/>
        </w:numPr>
        <w:ind w:left="425" w:leftChars="0" w:hanging="425" w:firstLineChars="0"/>
        <w:rPr>
          <w:rFonts w:hint="eastAsia"/>
        </w:rPr>
      </w:pPr>
      <w:r>
        <w:rPr>
          <w:rFonts w:hint="eastAsia" w:ascii="宋体" w:hAnsi="宋体" w:eastAsia="宋体" w:cs="宋体"/>
          <w:color w:val="auto"/>
          <w:sz w:val="22"/>
          <w:szCs w:val="22"/>
          <w:highlight w:val="none"/>
          <w:lang w:eastAsia="zh-CN"/>
        </w:rPr>
        <w:t>政府采购投标及履约承诺函</w:t>
      </w:r>
    </w:p>
    <w:p>
      <w:pPr>
        <w:pStyle w:val="2"/>
        <w:numPr>
          <w:ilvl w:val="0"/>
          <w:numId w:val="4"/>
        </w:numPr>
        <w:ind w:left="425" w:leftChars="0" w:hanging="425" w:firstLineChars="0"/>
        <w:rPr>
          <w:rFonts w:hint="eastAsia" w:cs="宋体"/>
          <w:color w:val="auto"/>
          <w:sz w:val="22"/>
          <w:szCs w:val="22"/>
          <w:highlight w:val="none"/>
          <w:lang w:val="en-US" w:eastAsia="zh-CN"/>
        </w:rPr>
      </w:pPr>
      <w:r>
        <w:rPr>
          <w:rFonts w:hint="eastAsia" w:cs="宋体"/>
          <w:color w:val="auto"/>
          <w:sz w:val="22"/>
          <w:szCs w:val="22"/>
          <w:highlight w:val="none"/>
          <w:lang w:val="en-US" w:eastAsia="zh-CN"/>
        </w:rPr>
        <w:t>营业执照</w:t>
      </w:r>
    </w:p>
    <w:p>
      <w:pPr>
        <w:numPr>
          <w:ilvl w:val="0"/>
          <w:numId w:val="4"/>
        </w:numPr>
        <w:ind w:left="425" w:leftChars="0" w:hanging="425" w:firstLineChars="0"/>
        <w:rPr>
          <w:rFonts w:hint="default"/>
          <w:lang w:val="en-US" w:eastAsia="zh-CN"/>
        </w:rPr>
      </w:pPr>
      <w:r>
        <w:rPr>
          <w:rFonts w:hint="eastAsia" w:cs="宋体"/>
          <w:color w:val="auto"/>
          <w:sz w:val="22"/>
          <w:szCs w:val="22"/>
          <w:highlight w:val="none"/>
          <w:lang w:val="en-US" w:eastAsia="zh-CN"/>
        </w:rPr>
        <w:t>资质证书</w:t>
      </w:r>
    </w:p>
    <w:p>
      <w:pPr>
        <w:pStyle w:val="2"/>
        <w:numPr>
          <w:ilvl w:val="0"/>
          <w:numId w:val="4"/>
        </w:numPr>
        <w:ind w:left="425" w:leftChars="0" w:hanging="425"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法定代表人证明书</w:t>
      </w:r>
    </w:p>
    <w:p>
      <w:pPr>
        <w:numPr>
          <w:ilvl w:val="0"/>
          <w:numId w:val="4"/>
        </w:numPr>
        <w:ind w:left="425" w:leftChars="0" w:hanging="425"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法定代表人授权书</w:t>
      </w:r>
    </w:p>
    <w:p>
      <w:pPr>
        <w:pStyle w:val="2"/>
        <w:numPr>
          <w:ilvl w:val="0"/>
          <w:numId w:val="4"/>
        </w:numPr>
        <w:ind w:left="425" w:leftChars="0" w:hanging="425"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报价清单表</w:t>
      </w:r>
    </w:p>
    <w:p>
      <w:pPr>
        <w:numPr>
          <w:ilvl w:val="0"/>
          <w:numId w:val="4"/>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同类项业绩</w:t>
      </w:r>
    </w:p>
    <w:p>
      <w:pPr>
        <w:pStyle w:val="2"/>
        <w:numPr>
          <w:ilvl w:val="0"/>
          <w:numId w:val="4"/>
        </w:numPr>
        <w:ind w:left="425" w:leftChars="0" w:hanging="425" w:firstLineChars="0"/>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投标人资格情况及通过相关认证情况</w:t>
      </w:r>
    </w:p>
    <w:p>
      <w:pPr>
        <w:numPr>
          <w:ilvl w:val="0"/>
          <w:numId w:val="4"/>
        </w:numPr>
        <w:ind w:left="425" w:leftChars="0" w:hanging="425"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诚信承诺函</w:t>
      </w:r>
    </w:p>
    <w:p>
      <w:pPr>
        <w:pStyle w:val="2"/>
        <w:numPr>
          <w:ilvl w:val="0"/>
          <w:numId w:val="4"/>
        </w:numPr>
        <w:ind w:left="425" w:leftChars="0" w:hanging="425" w:firstLineChars="0"/>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应急响应情况</w:t>
      </w:r>
    </w:p>
    <w:p>
      <w:pPr>
        <w:numPr>
          <w:ilvl w:val="0"/>
          <w:numId w:val="4"/>
        </w:numPr>
        <w:ind w:left="425" w:leftChars="0" w:hanging="425" w:firstLineChars="0"/>
        <w:rPr>
          <w:rFonts w:hint="default" w:ascii="Times New Roman" w:hAnsi="Times New Roman" w:eastAsia="宋体" w:cs="Times New Roman"/>
          <w:color w:val="auto"/>
          <w:sz w:val="22"/>
          <w:szCs w:val="22"/>
          <w:highlight w:val="none"/>
          <w:lang w:eastAsia="zh-CN"/>
        </w:rPr>
      </w:pPr>
      <w:r>
        <w:rPr>
          <w:rFonts w:hint="default" w:ascii="Times New Roman" w:hAnsi="Times New Roman" w:eastAsia="宋体" w:cs="Times New Roman"/>
          <w:sz w:val="22"/>
          <w:szCs w:val="22"/>
        </w:rPr>
        <w:t>电梯维保方案</w:t>
      </w:r>
      <w:r>
        <w:rPr>
          <w:rFonts w:hint="default" w:ascii="Times New Roman" w:hAnsi="Times New Roman" w:eastAsia="宋体" w:cs="Times New Roman"/>
          <w:color w:val="auto"/>
          <w:sz w:val="22"/>
          <w:szCs w:val="22"/>
          <w:highlight w:val="none"/>
          <w:lang w:eastAsia="zh-CN"/>
        </w:rPr>
        <w:t>及工作流程</w:t>
      </w:r>
    </w:p>
    <w:p>
      <w:pPr>
        <w:pStyle w:val="2"/>
        <w:numPr>
          <w:ilvl w:val="0"/>
          <w:numId w:val="4"/>
        </w:numPr>
        <w:ind w:left="425" w:leftChars="0" w:hanging="425" w:firstLineChars="0"/>
        <w:rPr>
          <w:rFonts w:hint="eastAsia" w:cs="Times New Roman"/>
          <w:color w:val="auto"/>
          <w:sz w:val="22"/>
          <w:szCs w:val="22"/>
          <w:highlight w:val="none"/>
          <w:lang w:val="en-US" w:eastAsia="zh-CN"/>
        </w:rPr>
      </w:pPr>
      <w:r>
        <w:rPr>
          <w:rFonts w:hint="eastAsia" w:cs="Times New Roman"/>
          <w:color w:val="auto"/>
          <w:sz w:val="22"/>
          <w:szCs w:val="22"/>
          <w:highlight w:val="none"/>
          <w:lang w:val="en-US" w:eastAsia="zh-CN"/>
        </w:rPr>
        <w:t>应急预案</w:t>
      </w:r>
    </w:p>
    <w:p>
      <w:pPr>
        <w:numPr>
          <w:ilvl w:val="0"/>
          <w:numId w:val="4"/>
        </w:numPr>
        <w:ind w:left="425" w:leftChars="0" w:hanging="425" w:firstLineChars="0"/>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技术水平</w:t>
      </w:r>
    </w:p>
    <w:p>
      <w:pPr>
        <w:pStyle w:val="2"/>
        <w:numPr>
          <w:ilvl w:val="0"/>
          <w:numId w:val="4"/>
        </w:numPr>
        <w:ind w:left="425" w:leftChars="0" w:hanging="425"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自主知识产权产品情况</w:t>
      </w:r>
    </w:p>
    <w:p>
      <w:pPr>
        <w:pStyle w:val="2"/>
        <w:numPr>
          <w:ilvl w:val="0"/>
          <w:numId w:val="4"/>
        </w:numPr>
        <w:ind w:left="425" w:leftChars="0" w:hanging="425" w:firstLineChars="0"/>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其它资料</w:t>
      </w:r>
    </w:p>
    <w:p>
      <w:pPr>
        <w:rPr>
          <w:rFonts w:hint="eastAsia"/>
        </w:rPr>
      </w:pPr>
    </w:p>
    <w:p>
      <w:pPr>
        <w:spacing w:before="156" w:beforeLines="50" w:after="156" w:afterLines="50"/>
        <w:jc w:val="center"/>
        <w:rPr>
          <w:rFonts w:ascii="华文中宋" w:hAnsi="华文中宋" w:eastAsia="华文中宋"/>
          <w:sz w:val="36"/>
          <w:szCs w:val="36"/>
        </w:rPr>
      </w:pPr>
      <w:r>
        <w:rPr>
          <w:rFonts w:hint="eastAsia" w:ascii="华文中宋" w:hAnsi="华文中宋" w:eastAsia="华文中宋"/>
          <w:sz w:val="36"/>
          <w:szCs w:val="36"/>
        </w:rPr>
        <w:t>投</w:t>
      </w:r>
      <w:r>
        <w:rPr>
          <w:rFonts w:ascii="华文中宋" w:hAnsi="华文中宋" w:eastAsia="华文中宋"/>
          <w:sz w:val="36"/>
          <w:szCs w:val="36"/>
        </w:rPr>
        <w:t xml:space="preserve"> </w:t>
      </w:r>
      <w:r>
        <w:rPr>
          <w:rFonts w:hint="eastAsia" w:ascii="华文中宋" w:hAnsi="华文中宋" w:eastAsia="华文中宋"/>
          <w:sz w:val="36"/>
          <w:szCs w:val="36"/>
        </w:rPr>
        <w:t>标</w:t>
      </w:r>
      <w:r>
        <w:rPr>
          <w:rFonts w:ascii="华文中宋" w:hAnsi="华文中宋" w:eastAsia="华文中宋"/>
          <w:sz w:val="36"/>
          <w:szCs w:val="36"/>
        </w:rPr>
        <w:t xml:space="preserve"> </w:t>
      </w:r>
      <w:r>
        <w:rPr>
          <w:rFonts w:hint="eastAsia" w:ascii="华文中宋" w:hAnsi="华文中宋" w:eastAsia="华文中宋"/>
          <w:sz w:val="36"/>
          <w:szCs w:val="36"/>
        </w:rPr>
        <w:t>报</w:t>
      </w:r>
      <w:r>
        <w:rPr>
          <w:rFonts w:ascii="华文中宋" w:hAnsi="华文中宋" w:eastAsia="华文中宋"/>
          <w:sz w:val="36"/>
          <w:szCs w:val="36"/>
        </w:rPr>
        <w:t xml:space="preserve"> </w:t>
      </w:r>
      <w:r>
        <w:rPr>
          <w:rFonts w:hint="eastAsia" w:ascii="华文中宋" w:hAnsi="华文中宋" w:eastAsia="华文中宋"/>
          <w:sz w:val="36"/>
          <w:szCs w:val="36"/>
        </w:rPr>
        <w:t>名</w:t>
      </w:r>
      <w:r>
        <w:rPr>
          <w:rFonts w:ascii="华文中宋" w:hAnsi="华文中宋" w:eastAsia="华文中宋"/>
          <w:sz w:val="36"/>
          <w:szCs w:val="36"/>
        </w:rPr>
        <w:t xml:space="preserve"> </w:t>
      </w:r>
      <w:r>
        <w:rPr>
          <w:rFonts w:hint="eastAsia" w:ascii="华文中宋" w:hAnsi="华文中宋" w:eastAsia="华文中宋"/>
          <w:sz w:val="36"/>
          <w:szCs w:val="36"/>
        </w:rPr>
        <w:t>表</w:t>
      </w:r>
    </w:p>
    <w:tbl>
      <w:tblPr>
        <w:tblStyle w:val="19"/>
        <w:tblW w:w="102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0" w:hRule="atLeast"/>
          <w:jc w:val="center"/>
        </w:trPr>
        <w:tc>
          <w:tcPr>
            <w:tcW w:w="10200" w:type="dxa"/>
          </w:tcPr>
          <w:p/>
          <w:tbl>
            <w:tblPr>
              <w:tblStyle w:val="19"/>
              <w:tblW w:w="9973" w:type="dxa"/>
              <w:tblInd w:w="0" w:type="dxa"/>
              <w:tblLayout w:type="fixed"/>
              <w:tblCellMar>
                <w:top w:w="0" w:type="dxa"/>
                <w:left w:w="108" w:type="dxa"/>
                <w:bottom w:w="0" w:type="dxa"/>
                <w:right w:w="108" w:type="dxa"/>
              </w:tblCellMar>
            </w:tblPr>
            <w:tblGrid>
              <w:gridCol w:w="1413"/>
              <w:gridCol w:w="1134"/>
              <w:gridCol w:w="1422"/>
              <w:gridCol w:w="20"/>
              <w:gridCol w:w="1398"/>
              <w:gridCol w:w="137"/>
              <w:gridCol w:w="117"/>
              <w:gridCol w:w="24"/>
              <w:gridCol w:w="231"/>
              <w:gridCol w:w="255"/>
              <w:gridCol w:w="255"/>
              <w:gridCol w:w="254"/>
              <w:gridCol w:w="255"/>
              <w:gridCol w:w="26"/>
              <w:gridCol w:w="142"/>
              <w:gridCol w:w="87"/>
              <w:gridCol w:w="255"/>
              <w:gridCol w:w="255"/>
              <w:gridCol w:w="254"/>
              <w:gridCol w:w="255"/>
              <w:gridCol w:w="255"/>
              <w:gridCol w:w="255"/>
              <w:gridCol w:w="254"/>
              <w:gridCol w:w="255"/>
              <w:gridCol w:w="255"/>
              <w:gridCol w:w="255"/>
              <w:gridCol w:w="255"/>
            </w:tblGrid>
            <w:tr>
              <w:tblPrEx>
                <w:tblCellMar>
                  <w:top w:w="0" w:type="dxa"/>
                  <w:left w:w="108" w:type="dxa"/>
                  <w:bottom w:w="0" w:type="dxa"/>
                  <w:right w:w="108" w:type="dxa"/>
                </w:tblCellMar>
              </w:tblPrEx>
              <w:trPr>
                <w:trHeight w:val="368" w:hRule="atLeast"/>
              </w:trPr>
              <w:tc>
                <w:tcPr>
                  <w:tcW w:w="3989" w:type="dxa"/>
                  <w:gridSpan w:val="4"/>
                  <w:vAlign w:val="center"/>
                </w:tcPr>
                <w:p>
                  <w:pPr>
                    <w:snapToGrid w:val="0"/>
                    <w:spacing w:before="156" w:beforeLines="50"/>
                    <w:rPr>
                      <w:b/>
                      <w:sz w:val="24"/>
                    </w:rPr>
                  </w:pPr>
                  <w:r>
                    <w:rPr>
                      <w:rFonts w:hint="eastAsia"/>
                      <w:b/>
                      <w:sz w:val="24"/>
                      <w:shd w:val="pct10" w:color="auto" w:fill="FFFFFF"/>
                    </w:rPr>
                    <w:t>Ⅰ</w:t>
                  </w:r>
                  <w:r>
                    <w:rPr>
                      <w:b/>
                      <w:sz w:val="24"/>
                      <w:shd w:val="pct10" w:color="auto" w:fill="FFFFFF"/>
                    </w:rPr>
                    <w:t xml:space="preserve">.  </w:t>
                  </w:r>
                  <w:r>
                    <w:rPr>
                      <w:rFonts w:hint="eastAsia"/>
                      <w:b/>
                      <w:sz w:val="24"/>
                      <w:shd w:val="pct10" w:color="auto" w:fill="FFFFFF"/>
                    </w:rPr>
                    <w:t>投标单位资料</w:t>
                  </w:r>
                </w:p>
              </w:tc>
              <w:tc>
                <w:tcPr>
                  <w:tcW w:w="5984" w:type="dxa"/>
                  <w:gridSpan w:val="23"/>
                  <w:vAlign w:val="center"/>
                </w:tcPr>
                <w:p>
                  <w:pPr>
                    <w:snapToGrid w:val="0"/>
                    <w:spacing w:before="156" w:beforeLines="50"/>
                    <w:rPr>
                      <w:sz w:val="24"/>
                    </w:rPr>
                  </w:pPr>
                </w:p>
              </w:tc>
            </w:tr>
            <w:tr>
              <w:tblPrEx>
                <w:tblCellMar>
                  <w:top w:w="0" w:type="dxa"/>
                  <w:left w:w="108" w:type="dxa"/>
                  <w:bottom w:w="0" w:type="dxa"/>
                  <w:right w:w="108" w:type="dxa"/>
                </w:tblCellMar>
              </w:tblPrEx>
              <w:trPr>
                <w:trHeight w:val="20" w:hRule="atLeast"/>
              </w:trPr>
              <w:tc>
                <w:tcPr>
                  <w:tcW w:w="1413" w:type="dxa"/>
                  <w:vAlign w:val="center"/>
                </w:tcPr>
                <w:p>
                  <w:pPr>
                    <w:snapToGrid w:val="0"/>
                    <w:spacing w:before="156" w:beforeLines="50"/>
                    <w:rPr>
                      <w:sz w:val="24"/>
                    </w:rPr>
                  </w:pPr>
                  <w:r>
                    <w:rPr>
                      <w:rFonts w:hint="eastAsia"/>
                      <w:sz w:val="24"/>
                    </w:rPr>
                    <w:t>单位名称：</w:t>
                  </w:r>
                </w:p>
              </w:tc>
              <w:tc>
                <w:tcPr>
                  <w:tcW w:w="4252" w:type="dxa"/>
                  <w:gridSpan w:val="7"/>
                  <w:tcBorders>
                    <w:bottom w:val="single" w:color="000000" w:sz="4" w:space="0"/>
                  </w:tcBorders>
                  <w:vAlign w:val="center"/>
                </w:tcPr>
                <w:p>
                  <w:pPr>
                    <w:snapToGrid w:val="0"/>
                    <w:spacing w:before="156" w:beforeLines="50"/>
                    <w:rPr>
                      <w:sz w:val="24"/>
                    </w:rPr>
                  </w:pPr>
                </w:p>
              </w:tc>
              <w:tc>
                <w:tcPr>
                  <w:tcW w:w="1418" w:type="dxa"/>
                  <w:gridSpan w:val="7"/>
                  <w:vAlign w:val="center"/>
                </w:tcPr>
                <w:p>
                  <w:pPr>
                    <w:snapToGrid w:val="0"/>
                    <w:spacing w:before="156" w:beforeLines="50"/>
                    <w:rPr>
                      <w:sz w:val="24"/>
                    </w:rPr>
                  </w:pPr>
                  <w:r>
                    <w:rPr>
                      <w:rFonts w:hint="eastAsia"/>
                      <w:sz w:val="24"/>
                    </w:rPr>
                    <w:t>邮编：</w:t>
                  </w:r>
                </w:p>
              </w:tc>
              <w:tc>
                <w:tcPr>
                  <w:tcW w:w="2890" w:type="dxa"/>
                  <w:gridSpan w:val="12"/>
                  <w:tcBorders>
                    <w:bottom w:val="single" w:color="000000" w:sz="4" w:space="0"/>
                  </w:tcBorders>
                  <w:vAlign w:val="center"/>
                </w:tcPr>
                <w:p>
                  <w:pPr>
                    <w:snapToGrid w:val="0"/>
                    <w:spacing w:before="156" w:beforeLines="50"/>
                    <w:rPr>
                      <w:sz w:val="24"/>
                    </w:rPr>
                  </w:pPr>
                </w:p>
              </w:tc>
            </w:tr>
            <w:tr>
              <w:tblPrEx>
                <w:tblCellMar>
                  <w:top w:w="0" w:type="dxa"/>
                  <w:left w:w="108" w:type="dxa"/>
                  <w:bottom w:w="0" w:type="dxa"/>
                  <w:right w:w="108" w:type="dxa"/>
                </w:tblCellMar>
              </w:tblPrEx>
              <w:trPr>
                <w:trHeight w:val="20" w:hRule="atLeast"/>
              </w:trPr>
              <w:tc>
                <w:tcPr>
                  <w:tcW w:w="1413" w:type="dxa"/>
                  <w:vAlign w:val="center"/>
                </w:tcPr>
                <w:p>
                  <w:pPr>
                    <w:snapToGrid w:val="0"/>
                    <w:spacing w:before="156" w:beforeLines="50"/>
                    <w:rPr>
                      <w:sz w:val="24"/>
                    </w:rPr>
                  </w:pPr>
                  <w:r>
                    <w:rPr>
                      <w:rFonts w:hint="eastAsia"/>
                      <w:sz w:val="24"/>
                    </w:rPr>
                    <w:t>注册地址：</w:t>
                  </w:r>
                </w:p>
              </w:tc>
              <w:tc>
                <w:tcPr>
                  <w:tcW w:w="4252" w:type="dxa"/>
                  <w:gridSpan w:val="7"/>
                  <w:tcBorders>
                    <w:top w:val="single" w:color="000000" w:sz="4" w:space="0"/>
                    <w:bottom w:val="single" w:color="000000" w:sz="4" w:space="0"/>
                  </w:tcBorders>
                  <w:vAlign w:val="center"/>
                </w:tcPr>
                <w:p>
                  <w:pPr>
                    <w:snapToGrid w:val="0"/>
                    <w:spacing w:before="156" w:beforeLines="50"/>
                    <w:rPr>
                      <w:sz w:val="24"/>
                    </w:rPr>
                  </w:pPr>
                </w:p>
              </w:tc>
              <w:tc>
                <w:tcPr>
                  <w:tcW w:w="1418" w:type="dxa"/>
                  <w:gridSpan w:val="7"/>
                  <w:vAlign w:val="center"/>
                </w:tcPr>
                <w:p>
                  <w:pPr>
                    <w:snapToGrid w:val="0"/>
                    <w:spacing w:before="156" w:beforeLines="50"/>
                    <w:rPr>
                      <w:sz w:val="24"/>
                    </w:rPr>
                  </w:pPr>
                  <w:r>
                    <w:rPr>
                      <w:rFonts w:hint="eastAsia"/>
                      <w:sz w:val="24"/>
                    </w:rPr>
                    <w:t>单位电话：</w:t>
                  </w:r>
                </w:p>
              </w:tc>
              <w:tc>
                <w:tcPr>
                  <w:tcW w:w="2890" w:type="dxa"/>
                  <w:gridSpan w:val="12"/>
                  <w:tcBorders>
                    <w:top w:val="single" w:color="000000" w:sz="4" w:space="0"/>
                    <w:bottom w:val="single" w:color="000000" w:sz="4" w:space="0"/>
                  </w:tcBorders>
                  <w:vAlign w:val="center"/>
                </w:tcPr>
                <w:p>
                  <w:pPr>
                    <w:snapToGrid w:val="0"/>
                    <w:spacing w:before="156" w:beforeLines="50"/>
                    <w:rPr>
                      <w:sz w:val="24"/>
                    </w:rPr>
                  </w:pPr>
                </w:p>
              </w:tc>
            </w:tr>
            <w:tr>
              <w:tblPrEx>
                <w:tblCellMar>
                  <w:top w:w="0" w:type="dxa"/>
                  <w:left w:w="108" w:type="dxa"/>
                  <w:bottom w:w="0" w:type="dxa"/>
                  <w:right w:w="108" w:type="dxa"/>
                </w:tblCellMar>
              </w:tblPrEx>
              <w:trPr>
                <w:trHeight w:val="20" w:hRule="atLeast"/>
              </w:trPr>
              <w:tc>
                <w:tcPr>
                  <w:tcW w:w="1413" w:type="dxa"/>
                  <w:vAlign w:val="center"/>
                </w:tcPr>
                <w:p>
                  <w:pPr>
                    <w:snapToGrid w:val="0"/>
                    <w:spacing w:before="156" w:beforeLines="50"/>
                    <w:rPr>
                      <w:sz w:val="24"/>
                    </w:rPr>
                  </w:pPr>
                </w:p>
              </w:tc>
              <w:tc>
                <w:tcPr>
                  <w:tcW w:w="4252" w:type="dxa"/>
                  <w:gridSpan w:val="7"/>
                  <w:tcBorders>
                    <w:top w:val="single" w:color="000000" w:sz="4" w:space="0"/>
                    <w:bottom w:val="single" w:color="000000" w:sz="4" w:space="0"/>
                  </w:tcBorders>
                  <w:vAlign w:val="center"/>
                </w:tcPr>
                <w:p>
                  <w:pPr>
                    <w:snapToGrid w:val="0"/>
                    <w:spacing w:before="156" w:beforeLines="50"/>
                    <w:rPr>
                      <w:sz w:val="24"/>
                    </w:rPr>
                  </w:pPr>
                </w:p>
              </w:tc>
              <w:tc>
                <w:tcPr>
                  <w:tcW w:w="1418" w:type="dxa"/>
                  <w:gridSpan w:val="7"/>
                  <w:vAlign w:val="center"/>
                </w:tcPr>
                <w:p>
                  <w:pPr>
                    <w:snapToGrid w:val="0"/>
                    <w:spacing w:before="156" w:beforeLines="50"/>
                    <w:rPr>
                      <w:sz w:val="24"/>
                    </w:rPr>
                  </w:pPr>
                  <w:r>
                    <w:rPr>
                      <w:rFonts w:hint="eastAsia"/>
                      <w:sz w:val="24"/>
                    </w:rPr>
                    <w:t>单位传真：</w:t>
                  </w:r>
                </w:p>
              </w:tc>
              <w:tc>
                <w:tcPr>
                  <w:tcW w:w="2890" w:type="dxa"/>
                  <w:gridSpan w:val="12"/>
                  <w:tcBorders>
                    <w:top w:val="single" w:color="000000" w:sz="4" w:space="0"/>
                    <w:bottom w:val="single" w:color="000000" w:sz="4" w:space="0"/>
                  </w:tcBorders>
                  <w:vAlign w:val="center"/>
                </w:tcPr>
                <w:p>
                  <w:pPr>
                    <w:snapToGrid w:val="0"/>
                    <w:spacing w:before="156" w:beforeLines="50"/>
                    <w:rPr>
                      <w:sz w:val="24"/>
                    </w:rPr>
                  </w:pPr>
                </w:p>
              </w:tc>
            </w:tr>
            <w:tr>
              <w:tblPrEx>
                <w:tblCellMar>
                  <w:top w:w="0" w:type="dxa"/>
                  <w:left w:w="108" w:type="dxa"/>
                  <w:bottom w:w="0" w:type="dxa"/>
                  <w:right w:w="108" w:type="dxa"/>
                </w:tblCellMar>
              </w:tblPrEx>
              <w:trPr>
                <w:trHeight w:val="20" w:hRule="atLeast"/>
              </w:trPr>
              <w:tc>
                <w:tcPr>
                  <w:tcW w:w="3989" w:type="dxa"/>
                  <w:gridSpan w:val="4"/>
                  <w:vAlign w:val="center"/>
                </w:tcPr>
                <w:p>
                  <w:pPr>
                    <w:snapToGrid w:val="0"/>
                    <w:spacing w:before="156" w:beforeLines="50"/>
                    <w:rPr>
                      <w:b/>
                      <w:sz w:val="24"/>
                    </w:rPr>
                  </w:pPr>
                  <w:r>
                    <w:rPr>
                      <w:rFonts w:hint="eastAsia"/>
                      <w:b/>
                      <w:sz w:val="24"/>
                      <w:shd w:val="pct10" w:color="auto" w:fill="FFFFFF"/>
                    </w:rPr>
                    <w:t>Ⅱ</w:t>
                  </w:r>
                  <w:r>
                    <w:rPr>
                      <w:b/>
                      <w:sz w:val="24"/>
                      <w:shd w:val="pct10" w:color="auto" w:fill="FFFFFF"/>
                    </w:rPr>
                    <w:t xml:space="preserve">.  </w:t>
                  </w:r>
                  <w:r>
                    <w:rPr>
                      <w:rFonts w:hint="eastAsia"/>
                      <w:b/>
                      <w:sz w:val="24"/>
                      <w:shd w:val="pct10" w:color="auto" w:fill="FFFFFF"/>
                    </w:rPr>
                    <w:t>拟投标项目资料</w:t>
                  </w:r>
                </w:p>
              </w:tc>
              <w:tc>
                <w:tcPr>
                  <w:tcW w:w="5984" w:type="dxa"/>
                  <w:gridSpan w:val="23"/>
                  <w:vAlign w:val="center"/>
                </w:tcPr>
                <w:p>
                  <w:pPr>
                    <w:snapToGrid w:val="0"/>
                    <w:spacing w:before="156" w:beforeLines="50"/>
                    <w:rPr>
                      <w:sz w:val="24"/>
                    </w:rPr>
                  </w:pPr>
                </w:p>
              </w:tc>
            </w:tr>
            <w:tr>
              <w:tblPrEx>
                <w:tblCellMar>
                  <w:top w:w="0" w:type="dxa"/>
                  <w:left w:w="108" w:type="dxa"/>
                  <w:bottom w:w="0" w:type="dxa"/>
                  <w:right w:w="108" w:type="dxa"/>
                </w:tblCellMar>
              </w:tblPrEx>
              <w:trPr>
                <w:trHeight w:val="20" w:hRule="atLeast"/>
              </w:trPr>
              <w:tc>
                <w:tcPr>
                  <w:tcW w:w="1413" w:type="dxa"/>
                  <w:vAlign w:val="center"/>
                </w:tcPr>
                <w:p>
                  <w:pPr>
                    <w:snapToGrid w:val="0"/>
                    <w:spacing w:before="156" w:beforeLines="50"/>
                    <w:rPr>
                      <w:sz w:val="24"/>
                    </w:rPr>
                  </w:pPr>
                  <w:r>
                    <w:rPr>
                      <w:rFonts w:hint="eastAsia"/>
                      <w:sz w:val="24"/>
                    </w:rPr>
                    <w:t>项目名称：</w:t>
                  </w:r>
                </w:p>
              </w:tc>
              <w:tc>
                <w:tcPr>
                  <w:tcW w:w="8560" w:type="dxa"/>
                  <w:gridSpan w:val="26"/>
                  <w:vAlign w:val="center"/>
                </w:tcPr>
                <w:p>
                  <w:pPr>
                    <w:snapToGrid w:val="0"/>
                    <w:spacing w:before="156" w:beforeLines="50"/>
                    <w:rPr>
                      <w:sz w:val="24"/>
                    </w:rPr>
                  </w:pPr>
                </w:p>
              </w:tc>
            </w:tr>
            <w:tr>
              <w:tblPrEx>
                <w:tblCellMar>
                  <w:top w:w="0" w:type="dxa"/>
                  <w:left w:w="108" w:type="dxa"/>
                  <w:bottom w:w="0" w:type="dxa"/>
                  <w:right w:w="108" w:type="dxa"/>
                </w:tblCellMar>
              </w:tblPrEx>
              <w:trPr>
                <w:trHeight w:val="20" w:hRule="atLeast"/>
              </w:trPr>
              <w:tc>
                <w:tcPr>
                  <w:tcW w:w="1413" w:type="dxa"/>
                  <w:vAlign w:val="center"/>
                </w:tcPr>
                <w:p>
                  <w:pPr>
                    <w:snapToGrid w:val="0"/>
                    <w:spacing w:before="156" w:beforeLines="50"/>
                    <w:rPr>
                      <w:sz w:val="24"/>
                    </w:rPr>
                  </w:pPr>
                  <w:r>
                    <w:rPr>
                      <w:rFonts w:hint="eastAsia"/>
                      <w:sz w:val="24"/>
                    </w:rPr>
                    <w:t>项目编号：</w:t>
                  </w:r>
                </w:p>
              </w:tc>
              <w:tc>
                <w:tcPr>
                  <w:tcW w:w="4252" w:type="dxa"/>
                  <w:gridSpan w:val="7"/>
                  <w:tcBorders>
                    <w:top w:val="single" w:color="000000" w:sz="4" w:space="0"/>
                    <w:bottom w:val="single" w:color="000000" w:sz="4" w:space="0"/>
                  </w:tcBorders>
                  <w:vAlign w:val="center"/>
                </w:tcPr>
                <w:p>
                  <w:pPr>
                    <w:snapToGrid w:val="0"/>
                    <w:spacing w:before="156" w:beforeLines="50"/>
                    <w:rPr>
                      <w:sz w:val="24"/>
                    </w:rPr>
                  </w:pPr>
                </w:p>
              </w:tc>
              <w:tc>
                <w:tcPr>
                  <w:tcW w:w="1418" w:type="dxa"/>
                  <w:gridSpan w:val="7"/>
                  <w:tcBorders>
                    <w:top w:val="single" w:color="000000" w:sz="4" w:space="0"/>
                  </w:tcBorders>
                  <w:vAlign w:val="center"/>
                </w:tcPr>
                <w:p>
                  <w:pPr>
                    <w:snapToGrid w:val="0"/>
                    <w:spacing w:before="156" w:beforeLines="50"/>
                    <w:rPr>
                      <w:sz w:val="24"/>
                    </w:rPr>
                  </w:pPr>
                </w:p>
              </w:tc>
              <w:tc>
                <w:tcPr>
                  <w:tcW w:w="2890" w:type="dxa"/>
                  <w:gridSpan w:val="12"/>
                  <w:tcBorders>
                    <w:top w:val="single" w:color="000000" w:sz="4" w:space="0"/>
                    <w:bottom w:val="single" w:color="000000" w:sz="4" w:space="0"/>
                  </w:tcBorders>
                  <w:vAlign w:val="center"/>
                </w:tcPr>
                <w:p>
                  <w:pPr>
                    <w:snapToGrid w:val="0"/>
                    <w:spacing w:before="156" w:beforeLines="50"/>
                    <w:rPr>
                      <w:sz w:val="24"/>
                    </w:rPr>
                  </w:pPr>
                </w:p>
              </w:tc>
            </w:tr>
            <w:tr>
              <w:tblPrEx>
                <w:tblCellMar>
                  <w:top w:w="0" w:type="dxa"/>
                  <w:left w:w="108" w:type="dxa"/>
                  <w:bottom w:w="0" w:type="dxa"/>
                  <w:right w:w="108" w:type="dxa"/>
                </w:tblCellMar>
              </w:tblPrEx>
              <w:trPr>
                <w:trHeight w:val="20" w:hRule="atLeast"/>
              </w:trPr>
              <w:tc>
                <w:tcPr>
                  <w:tcW w:w="3989" w:type="dxa"/>
                  <w:gridSpan w:val="4"/>
                  <w:vAlign w:val="center"/>
                </w:tcPr>
                <w:p>
                  <w:pPr>
                    <w:snapToGrid w:val="0"/>
                    <w:spacing w:before="156" w:beforeLines="50"/>
                    <w:rPr>
                      <w:b/>
                      <w:sz w:val="24"/>
                    </w:rPr>
                  </w:pPr>
                  <w:r>
                    <w:rPr>
                      <w:rFonts w:hint="eastAsia"/>
                      <w:b/>
                      <w:sz w:val="24"/>
                      <w:shd w:val="pct10" w:color="auto" w:fill="FFFFFF"/>
                    </w:rPr>
                    <w:t>Ⅲ</w:t>
                  </w:r>
                  <w:r>
                    <w:rPr>
                      <w:b/>
                      <w:sz w:val="24"/>
                      <w:shd w:val="pct10" w:color="auto" w:fill="FFFFFF"/>
                    </w:rPr>
                    <w:t xml:space="preserve">.  </w:t>
                  </w:r>
                  <w:r>
                    <w:rPr>
                      <w:rFonts w:hint="eastAsia"/>
                      <w:b/>
                      <w:sz w:val="24"/>
                      <w:shd w:val="pct10" w:color="auto" w:fill="FFFFFF"/>
                    </w:rPr>
                    <w:t>法定代表人或被授权人资料</w:t>
                  </w:r>
                </w:p>
              </w:tc>
              <w:tc>
                <w:tcPr>
                  <w:tcW w:w="5984" w:type="dxa"/>
                  <w:gridSpan w:val="23"/>
                  <w:vAlign w:val="center"/>
                </w:tcPr>
                <w:p>
                  <w:pPr>
                    <w:snapToGrid w:val="0"/>
                    <w:spacing w:before="156" w:beforeLines="50"/>
                    <w:rPr>
                      <w:sz w:val="24"/>
                    </w:rPr>
                  </w:pPr>
                </w:p>
              </w:tc>
            </w:tr>
            <w:tr>
              <w:tblPrEx>
                <w:tblCellMar>
                  <w:top w:w="0" w:type="dxa"/>
                  <w:left w:w="108" w:type="dxa"/>
                  <w:bottom w:w="0" w:type="dxa"/>
                  <w:right w:w="108" w:type="dxa"/>
                </w:tblCellMar>
              </w:tblPrEx>
              <w:trPr>
                <w:trHeight w:val="77" w:hRule="atLeast"/>
              </w:trPr>
              <w:tc>
                <w:tcPr>
                  <w:tcW w:w="1413" w:type="dxa"/>
                  <w:vAlign w:val="center"/>
                </w:tcPr>
                <w:p>
                  <w:pPr>
                    <w:snapToGrid w:val="0"/>
                    <w:spacing w:before="156" w:beforeLines="50"/>
                    <w:rPr>
                      <w:sz w:val="24"/>
                    </w:rPr>
                  </w:pPr>
                  <w:r>
                    <w:rPr>
                      <w:rFonts w:hint="eastAsia"/>
                      <w:sz w:val="24"/>
                    </w:rPr>
                    <w:t>姓名：</w:t>
                  </w:r>
                </w:p>
              </w:tc>
              <w:tc>
                <w:tcPr>
                  <w:tcW w:w="2556" w:type="dxa"/>
                  <w:gridSpan w:val="2"/>
                  <w:tcBorders>
                    <w:bottom w:val="single" w:color="000000" w:sz="4" w:space="0"/>
                  </w:tcBorders>
                  <w:vAlign w:val="center"/>
                </w:tcPr>
                <w:p>
                  <w:pPr>
                    <w:snapToGrid w:val="0"/>
                    <w:spacing w:before="156" w:beforeLines="50"/>
                    <w:rPr>
                      <w:sz w:val="24"/>
                    </w:rPr>
                  </w:pPr>
                </w:p>
              </w:tc>
              <w:tc>
                <w:tcPr>
                  <w:tcW w:w="1418" w:type="dxa"/>
                  <w:gridSpan w:val="2"/>
                  <w:tcBorders>
                    <w:right w:val="single" w:color="000000" w:sz="4" w:space="0"/>
                  </w:tcBorders>
                  <w:vAlign w:val="center"/>
                </w:tcPr>
                <w:p>
                  <w:pPr>
                    <w:snapToGrid w:val="0"/>
                    <w:spacing w:before="156" w:beforeLines="50"/>
                    <w:rPr>
                      <w:sz w:val="24"/>
                    </w:rPr>
                  </w:pPr>
                  <w:r>
                    <w:rPr>
                      <w:rFonts w:hint="eastAsia"/>
                      <w:sz w:val="24"/>
                    </w:rPr>
                    <w:t>身份证号：</w:t>
                  </w:r>
                </w:p>
              </w:tc>
              <w:tc>
                <w:tcPr>
                  <w:tcW w:w="25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5"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5"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4"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5"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5"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5"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4"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5"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5"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5"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4"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5"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5"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5"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c>
                <w:tcPr>
                  <w:tcW w:w="255"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Lines="50"/>
                    <w:rPr>
                      <w:sz w:val="24"/>
                    </w:rPr>
                  </w:pPr>
                </w:p>
              </w:tc>
            </w:tr>
            <w:tr>
              <w:tblPrEx>
                <w:tblCellMar>
                  <w:top w:w="0" w:type="dxa"/>
                  <w:left w:w="108" w:type="dxa"/>
                  <w:bottom w:w="0" w:type="dxa"/>
                  <w:right w:w="108" w:type="dxa"/>
                </w:tblCellMar>
              </w:tblPrEx>
              <w:trPr>
                <w:trHeight w:val="254" w:hRule="atLeast"/>
              </w:trPr>
              <w:tc>
                <w:tcPr>
                  <w:tcW w:w="1413" w:type="dxa"/>
                  <w:vAlign w:val="center"/>
                </w:tcPr>
                <w:p>
                  <w:pPr>
                    <w:snapToGrid w:val="0"/>
                    <w:spacing w:before="156" w:beforeLines="50"/>
                    <w:rPr>
                      <w:sz w:val="24"/>
                    </w:rPr>
                  </w:pPr>
                  <w:r>
                    <w:rPr>
                      <w:rFonts w:hint="eastAsia"/>
                      <w:sz w:val="24"/>
                    </w:rPr>
                    <w:t>手机：</w:t>
                  </w:r>
                </w:p>
              </w:tc>
              <w:tc>
                <w:tcPr>
                  <w:tcW w:w="2556" w:type="dxa"/>
                  <w:gridSpan w:val="2"/>
                  <w:tcBorders>
                    <w:top w:val="single" w:color="000000" w:sz="4" w:space="0"/>
                    <w:bottom w:val="single" w:color="000000" w:sz="4" w:space="0"/>
                  </w:tcBorders>
                  <w:vAlign w:val="center"/>
                </w:tcPr>
                <w:p>
                  <w:pPr>
                    <w:snapToGrid w:val="0"/>
                    <w:spacing w:before="156" w:beforeLines="50"/>
                    <w:rPr>
                      <w:sz w:val="24"/>
                    </w:rPr>
                  </w:pPr>
                </w:p>
              </w:tc>
              <w:tc>
                <w:tcPr>
                  <w:tcW w:w="1418" w:type="dxa"/>
                  <w:gridSpan w:val="2"/>
                  <w:vAlign w:val="center"/>
                </w:tcPr>
                <w:p>
                  <w:pPr>
                    <w:snapToGrid w:val="0"/>
                    <w:spacing w:before="156" w:beforeLines="50"/>
                    <w:rPr>
                      <w:sz w:val="24"/>
                    </w:rPr>
                  </w:pPr>
                  <w:r>
                    <w:rPr>
                      <w:rFonts w:hint="eastAsia"/>
                      <w:sz w:val="24"/>
                    </w:rPr>
                    <w:t>电子邮箱：</w:t>
                  </w:r>
                </w:p>
              </w:tc>
              <w:tc>
                <w:tcPr>
                  <w:tcW w:w="4586" w:type="dxa"/>
                  <w:gridSpan w:val="22"/>
                  <w:tcBorders>
                    <w:top w:val="single" w:color="000000" w:sz="4" w:space="0"/>
                    <w:bottom w:val="single" w:color="000000" w:sz="4" w:space="0"/>
                  </w:tcBorders>
                  <w:vAlign w:val="center"/>
                </w:tcPr>
                <w:p>
                  <w:pPr>
                    <w:snapToGrid w:val="0"/>
                    <w:spacing w:before="156" w:beforeLines="50"/>
                    <w:rPr>
                      <w:sz w:val="24"/>
                    </w:rPr>
                  </w:pPr>
                </w:p>
              </w:tc>
            </w:tr>
            <w:tr>
              <w:tblPrEx>
                <w:tblCellMar>
                  <w:top w:w="0" w:type="dxa"/>
                  <w:left w:w="108" w:type="dxa"/>
                  <w:bottom w:w="0" w:type="dxa"/>
                  <w:right w:w="108" w:type="dxa"/>
                </w:tblCellMar>
              </w:tblPrEx>
              <w:trPr>
                <w:trHeight w:val="20" w:hRule="atLeast"/>
              </w:trPr>
              <w:tc>
                <w:tcPr>
                  <w:tcW w:w="3989" w:type="dxa"/>
                  <w:gridSpan w:val="4"/>
                  <w:vAlign w:val="center"/>
                </w:tcPr>
                <w:p>
                  <w:pPr>
                    <w:snapToGrid w:val="0"/>
                    <w:spacing w:before="156" w:beforeLines="50"/>
                    <w:rPr>
                      <w:b/>
                      <w:sz w:val="24"/>
                    </w:rPr>
                  </w:pPr>
                  <w:r>
                    <w:rPr>
                      <w:rFonts w:hint="eastAsia"/>
                      <w:b/>
                      <w:sz w:val="24"/>
                      <w:shd w:val="pct10" w:color="auto" w:fill="FFFFFF"/>
                    </w:rPr>
                    <w:t>Ⅳ</w:t>
                  </w:r>
                  <w:r>
                    <w:rPr>
                      <w:b/>
                      <w:sz w:val="24"/>
                      <w:shd w:val="pct10" w:color="auto" w:fill="FFFFFF"/>
                    </w:rPr>
                    <w:t xml:space="preserve">.  </w:t>
                  </w:r>
                  <w:r>
                    <w:rPr>
                      <w:rFonts w:hint="eastAsia"/>
                      <w:b/>
                      <w:sz w:val="24"/>
                      <w:shd w:val="pct10" w:color="auto" w:fill="FFFFFF"/>
                    </w:rPr>
                    <w:t>投标人须知事项</w:t>
                  </w:r>
                </w:p>
              </w:tc>
              <w:tc>
                <w:tcPr>
                  <w:tcW w:w="5984" w:type="dxa"/>
                  <w:gridSpan w:val="23"/>
                  <w:vAlign w:val="center"/>
                </w:tcPr>
                <w:p>
                  <w:pPr>
                    <w:snapToGrid w:val="0"/>
                    <w:spacing w:before="156" w:beforeLines="50"/>
                    <w:rPr>
                      <w:sz w:val="24"/>
                    </w:rPr>
                  </w:pPr>
                </w:p>
              </w:tc>
            </w:tr>
            <w:tr>
              <w:tblPrEx>
                <w:tblCellMar>
                  <w:top w:w="0" w:type="dxa"/>
                  <w:left w:w="108" w:type="dxa"/>
                  <w:bottom w:w="0" w:type="dxa"/>
                  <w:right w:w="108" w:type="dxa"/>
                </w:tblCellMar>
              </w:tblPrEx>
              <w:trPr>
                <w:trHeight w:val="3064" w:hRule="atLeast"/>
              </w:trPr>
              <w:tc>
                <w:tcPr>
                  <w:tcW w:w="9973" w:type="dxa"/>
                  <w:gridSpan w:val="27"/>
                </w:tcPr>
                <w:p>
                  <w:pPr>
                    <w:pStyle w:val="10"/>
                    <w:snapToGrid w:val="0"/>
                    <w:spacing w:before="156" w:beforeLines="50"/>
                    <w:rPr>
                      <w:rFonts w:ascii="Times New Roman" w:hAnsi="Times New Roman"/>
                      <w:sz w:val="24"/>
                      <w:szCs w:val="22"/>
                    </w:rPr>
                  </w:pPr>
                  <w:r>
                    <w:rPr>
                      <w:rFonts w:hint="eastAsia" w:ascii="Times New Roman" w:hAnsi="Times New Roman"/>
                      <w:sz w:val="24"/>
                      <w:szCs w:val="22"/>
                    </w:rPr>
                    <w:t>我方了解如下事项：</w:t>
                  </w:r>
                </w:p>
                <w:p>
                  <w:pPr>
                    <w:pStyle w:val="10"/>
                    <w:snapToGrid w:val="0"/>
                    <w:rPr>
                      <w:rFonts w:ascii="Times New Roman" w:hAnsi="Times New Roman"/>
                      <w:sz w:val="24"/>
                      <w:szCs w:val="22"/>
                    </w:rPr>
                  </w:pPr>
                  <w:r>
                    <w:rPr>
                      <w:rFonts w:ascii="Times New Roman" w:hAnsi="Times New Roman"/>
                      <w:sz w:val="24"/>
                      <w:szCs w:val="22"/>
                    </w:rPr>
                    <w:t>1</w:t>
                  </w:r>
                  <w:r>
                    <w:rPr>
                      <w:rFonts w:hint="eastAsia" w:ascii="Times New Roman" w:hAnsi="Times New Roman"/>
                      <w:sz w:val="24"/>
                      <w:szCs w:val="22"/>
                    </w:rPr>
                    <w:t>、我方保证本表填写的内容及提供的证件和资料真实有效，如有虚假则承担法律责任；</w:t>
                  </w:r>
                </w:p>
                <w:p>
                  <w:pPr>
                    <w:pStyle w:val="10"/>
                    <w:snapToGrid w:val="0"/>
                    <w:rPr>
                      <w:rFonts w:ascii="Times New Roman" w:hAnsi="Times New Roman"/>
                      <w:sz w:val="24"/>
                      <w:szCs w:val="22"/>
                    </w:rPr>
                  </w:pPr>
                  <w:r>
                    <w:rPr>
                      <w:rFonts w:ascii="Times New Roman" w:hAnsi="Times New Roman"/>
                      <w:sz w:val="24"/>
                      <w:szCs w:val="22"/>
                    </w:rPr>
                    <w:t>2</w:t>
                  </w:r>
                  <w:r>
                    <w:rPr>
                      <w:rFonts w:hint="eastAsia" w:ascii="Times New Roman" w:hAnsi="Times New Roman"/>
                      <w:sz w:val="24"/>
                      <w:szCs w:val="22"/>
                    </w:rPr>
                    <w:t>、我方了解本项目投标人的资格要求，并将相关材料准备齐全参与投标；</w:t>
                  </w:r>
                </w:p>
                <w:p>
                  <w:pPr>
                    <w:pStyle w:val="10"/>
                    <w:snapToGrid w:val="0"/>
                    <w:rPr>
                      <w:rFonts w:ascii="Times New Roman" w:hAnsi="Times New Roman"/>
                      <w:sz w:val="24"/>
                      <w:szCs w:val="22"/>
                    </w:rPr>
                  </w:pPr>
                  <w:r>
                    <w:rPr>
                      <w:rFonts w:ascii="Times New Roman" w:hAnsi="Times New Roman"/>
                      <w:sz w:val="24"/>
                      <w:szCs w:val="22"/>
                    </w:rPr>
                    <w:t>3</w:t>
                  </w:r>
                  <w:r>
                    <w:rPr>
                      <w:rFonts w:hint="eastAsia" w:ascii="Times New Roman" w:hAnsi="Times New Roman"/>
                      <w:sz w:val="24"/>
                      <w:szCs w:val="22"/>
                    </w:rPr>
                    <w:t>、我方了解招标文件的密封要求，并按招标文件要求在投标文件外包装上标识相关内容；</w:t>
                  </w:r>
                </w:p>
                <w:p>
                  <w:pPr>
                    <w:pStyle w:val="10"/>
                    <w:snapToGrid w:val="0"/>
                    <w:rPr>
                      <w:rFonts w:ascii="Times New Roman" w:hAnsi="Times New Roman"/>
                      <w:sz w:val="10"/>
                      <w:szCs w:val="10"/>
                    </w:rPr>
                  </w:pPr>
                  <w:r>
                    <w:rPr>
                      <w:rFonts w:ascii="Times New Roman" w:hAnsi="Times New Roman"/>
                      <w:sz w:val="24"/>
                      <w:szCs w:val="22"/>
                    </w:rPr>
                    <w:t>4</w:t>
                  </w:r>
                  <w:r>
                    <w:rPr>
                      <w:rFonts w:hint="eastAsia" w:ascii="Times New Roman" w:hAnsi="Times New Roman"/>
                      <w:sz w:val="24"/>
                      <w:szCs w:val="22"/>
                    </w:rPr>
                    <w:t>、本报名表自本项目中标公告发布三日后失效。</w:t>
                  </w:r>
                </w:p>
              </w:tc>
            </w:tr>
            <w:tr>
              <w:tblPrEx>
                <w:tblCellMar>
                  <w:top w:w="0" w:type="dxa"/>
                  <w:left w:w="108" w:type="dxa"/>
                  <w:bottom w:w="0" w:type="dxa"/>
                  <w:right w:w="108" w:type="dxa"/>
                </w:tblCellMar>
              </w:tblPrEx>
              <w:trPr>
                <w:trHeight w:val="700" w:hRule="atLeast"/>
              </w:trPr>
              <w:tc>
                <w:tcPr>
                  <w:tcW w:w="2547" w:type="dxa"/>
                  <w:gridSpan w:val="2"/>
                </w:tcPr>
                <w:p>
                  <w:pPr>
                    <w:snapToGrid w:val="0"/>
                    <w:spacing w:before="156" w:beforeLines="50"/>
                    <w:ind w:firstLine="480" w:firstLineChars="200"/>
                    <w:jc w:val="right"/>
                    <w:rPr>
                      <w:sz w:val="24"/>
                    </w:rPr>
                  </w:pPr>
                  <w:r>
                    <w:rPr>
                      <w:rFonts w:hint="eastAsia"/>
                      <w:sz w:val="24"/>
                    </w:rPr>
                    <w:t>签署：</w:t>
                  </w:r>
                </w:p>
              </w:tc>
              <w:tc>
                <w:tcPr>
                  <w:tcW w:w="2977" w:type="dxa"/>
                  <w:gridSpan w:val="4"/>
                </w:tcPr>
                <w:p>
                  <w:pPr>
                    <w:snapToGrid w:val="0"/>
                    <w:spacing w:before="156" w:beforeLines="50"/>
                    <w:rPr>
                      <w:sz w:val="24"/>
                    </w:rPr>
                  </w:pPr>
                </w:p>
              </w:tc>
              <w:tc>
                <w:tcPr>
                  <w:tcW w:w="1417" w:type="dxa"/>
                  <w:gridSpan w:val="8"/>
                </w:tcPr>
                <w:p>
                  <w:pPr>
                    <w:snapToGrid w:val="0"/>
                    <w:spacing w:before="156" w:beforeLines="50"/>
                    <w:rPr>
                      <w:sz w:val="24"/>
                    </w:rPr>
                  </w:pPr>
                  <w:r>
                    <w:rPr>
                      <w:rFonts w:hint="eastAsia"/>
                      <w:sz w:val="24"/>
                    </w:rPr>
                    <w:t>报名日期：</w:t>
                  </w:r>
                </w:p>
              </w:tc>
              <w:tc>
                <w:tcPr>
                  <w:tcW w:w="3032" w:type="dxa"/>
                  <w:gridSpan w:val="13"/>
                </w:tcPr>
                <w:p>
                  <w:pPr>
                    <w:snapToGrid w:val="0"/>
                    <w:spacing w:before="156" w:beforeLines="50"/>
                    <w:ind w:firstLine="600" w:firstLineChars="250"/>
                    <w:rPr>
                      <w:sz w:val="24"/>
                    </w:rPr>
                  </w:pP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p>
                  <w:pPr>
                    <w:snapToGrid w:val="0"/>
                    <w:spacing w:before="156" w:beforeLines="50"/>
                    <w:ind w:firstLine="600" w:firstLineChars="250"/>
                    <w:rPr>
                      <w:sz w:val="24"/>
                    </w:rPr>
                  </w:pPr>
                  <w:r>
                    <w:rPr>
                      <w:rFonts w:hint="eastAsia"/>
                      <w:sz w:val="24"/>
                    </w:rPr>
                    <w:t xml:space="preserve">时 </w:t>
                  </w:r>
                  <w:r>
                    <w:rPr>
                      <w:sz w:val="24"/>
                    </w:rPr>
                    <w:t xml:space="preserve">  </w:t>
                  </w:r>
                  <w:r>
                    <w:rPr>
                      <w:rFonts w:hint="eastAsia"/>
                      <w:sz w:val="24"/>
                    </w:rPr>
                    <w:t xml:space="preserve">分 </w:t>
                  </w:r>
                  <w:r>
                    <w:rPr>
                      <w:sz w:val="24"/>
                    </w:rPr>
                    <w:t xml:space="preserve">  </w:t>
                  </w:r>
                  <w:r>
                    <w:rPr>
                      <w:rFonts w:hint="eastAsia"/>
                      <w:sz w:val="24"/>
                    </w:rPr>
                    <w:t>秒</w:t>
                  </w:r>
                </w:p>
              </w:tc>
            </w:tr>
          </w:tbl>
          <w:p>
            <w:pPr>
              <w:widowControl/>
              <w:snapToGrid w:val="0"/>
              <w:jc w:val="left"/>
              <w:rPr>
                <w:rFonts w:ascii="华文中宋" w:hAnsi="华文中宋" w:eastAsia="华文中宋"/>
                <w:sz w:val="24"/>
              </w:rPr>
            </w:pPr>
          </w:p>
        </w:tc>
      </w:tr>
    </w:tbl>
    <w:p/>
    <w:p>
      <w:pPr>
        <w:pStyle w:val="9"/>
      </w:pPr>
    </w:p>
    <w:p>
      <w:pPr>
        <w:pStyle w:val="9"/>
      </w:pPr>
    </w:p>
    <w:p/>
    <w:p>
      <w:pPr>
        <w:rPr>
          <w:rFonts w:hint="eastAsia" w:asciiTheme="majorEastAsia" w:hAnsiTheme="majorEastAsia" w:eastAsiaTheme="majorEastAsia"/>
          <w:bCs w:val="0"/>
          <w:sz w:val="32"/>
        </w:rPr>
      </w:pPr>
      <w:r>
        <w:rPr>
          <w:rFonts w:hint="eastAsia" w:asciiTheme="majorEastAsia" w:hAnsiTheme="majorEastAsia" w:eastAsiaTheme="majorEastAsia"/>
          <w:bCs w:val="0"/>
          <w:sz w:val="32"/>
        </w:rPr>
        <w:br w:type="page"/>
      </w:r>
    </w:p>
    <w:p>
      <w:pPr>
        <w:pStyle w:val="2"/>
        <w:jc w:val="center"/>
        <w:rPr>
          <w:rFonts w:asciiTheme="majorEastAsia" w:hAnsiTheme="majorEastAsia" w:eastAsiaTheme="majorEastAsia"/>
          <w:bCs w:val="0"/>
          <w:sz w:val="32"/>
        </w:rPr>
      </w:pPr>
      <w:r>
        <w:rPr>
          <w:rFonts w:hint="eastAsia" w:asciiTheme="majorEastAsia" w:hAnsiTheme="majorEastAsia" w:eastAsiaTheme="majorEastAsia"/>
          <w:bCs w:val="0"/>
          <w:sz w:val="32"/>
        </w:rPr>
        <w:t>政府采购投标及履约承诺函</w:t>
      </w:r>
    </w:p>
    <w:p>
      <w:pPr>
        <w:rPr>
          <w:rFonts w:asciiTheme="majorEastAsia" w:hAnsiTheme="majorEastAsia" w:eastAsiaTheme="majorEastAsia"/>
          <w:sz w:val="24"/>
        </w:rPr>
      </w:pPr>
      <w:r>
        <w:rPr>
          <w:rFonts w:hint="eastAsia" w:asciiTheme="majorEastAsia" w:hAnsiTheme="majorEastAsia" w:eastAsiaTheme="majorEastAsia"/>
          <w:sz w:val="24"/>
        </w:rPr>
        <w:t xml:space="preserve">致： </w:t>
      </w:r>
      <w:r>
        <w:rPr>
          <w:rFonts w:asciiTheme="majorEastAsia" w:hAnsiTheme="majorEastAsia" w:eastAsiaTheme="majorEastAsia"/>
          <w:sz w:val="24"/>
        </w:rPr>
        <w:t xml:space="preserve">             </w:t>
      </w:r>
      <w:r>
        <w:rPr>
          <w:rFonts w:hint="eastAsia" w:asciiTheme="majorEastAsia" w:hAnsiTheme="majorEastAsia" w:eastAsiaTheme="majorEastAsia"/>
          <w:sz w:val="24"/>
        </w:rPr>
        <w:t>学校</w:t>
      </w:r>
      <w:r>
        <w:rPr>
          <w:rFonts w:asciiTheme="majorEastAsia" w:hAnsiTheme="majorEastAsia" w:eastAsiaTheme="majorEastAsia"/>
          <w:sz w:val="24"/>
        </w:rPr>
        <w:t xml:space="preserve"> </w:t>
      </w:r>
    </w:p>
    <w:p>
      <w:pPr>
        <w:ind w:right="-815" w:firstLine="480" w:firstLineChars="200"/>
        <w:rPr>
          <w:rFonts w:asciiTheme="majorEastAsia" w:hAnsiTheme="majorEastAsia" w:eastAsiaTheme="majorEastAsia"/>
          <w:sz w:val="24"/>
        </w:rPr>
      </w:pPr>
      <w:r>
        <w:rPr>
          <w:rFonts w:hint="eastAsia" w:asciiTheme="majorEastAsia" w:hAnsiTheme="majorEastAsia" w:eastAsiaTheme="majorEastAsia"/>
          <w:sz w:val="24"/>
        </w:rPr>
        <w:t>我公司承诺：</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1.我公司依法缴纳税收和社会保障资金。</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2.我公司具备合同所必需的社保、设备和专业技术能力。</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3. 我公司具有良好的商业信誉和健全的财务会计制度。</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4. 我公司有依法缴纳税收和社会保障资金的良好记录。</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5.我公司参与本项目投标前一年内在经营活动中没有重大违法记录。</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6. 我公司参与本项目政府采购活动时不存在被有关部门禁止参与政府采购活动且在有效期内的情况。</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7.我公司对本招标项目所提供的货物或服务未侵犯知识产权。</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8.我公司保证采购人拥有所投产品完整的所有权，不以保护知识产权或技术保密的名义对所有权和使用权进行任何限制。</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9.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10.如果中标，做到守信，不偷工减料，依照本项目招标文件需求内容、签署的采购合同及本公司在投标中所作的一切承诺履约。项目验收达到全部指标合格，力争优良。</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11. 我公司保证不违法分包转包。</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12.我公司承诺本项目的报价不低于我公司的成本价，否则，我公司清楚将面临被无效投标的风险。</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13.我公司承诺不恶意低价谋取中标；我公司对本项目的报价负责，中标后将严格按照本项目招标文件需求、签署的采购合同及我公司在投标中所作的全部承诺履行。我公司清楚，若我公司以“投标报价太低而无法履约”为理由放弃本项目中标资格时，投标保证金将不被退还，且愿接受主管部门的处理处罚。</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14.若我公司中标本项目，我公司的报价明显低于其他投标人的报价时，我公司清楚，本项目将成为重点监管、重点验收项目，我公司将按时保质保量完成，并全力配合有关监管、验收工作；若我公司为按上述要求履约，我公司愿意接受主管部门的处理处罚。</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15.</w:t>
      </w:r>
      <w:r>
        <w:rPr>
          <w:rFonts w:asciiTheme="majorEastAsia" w:hAnsiTheme="majorEastAsia" w:eastAsiaTheme="majorEastAsia"/>
          <w:sz w:val="24"/>
        </w:rPr>
        <w:t xml:space="preserve"> 参与政府采购项目投标的供应商近三年内无行贿犯罪记录</w:t>
      </w:r>
      <w:r>
        <w:rPr>
          <w:rFonts w:hint="eastAsia" w:asciiTheme="majorEastAsia" w:hAnsiTheme="majorEastAsia" w:eastAsiaTheme="majorEastAsia"/>
          <w:sz w:val="24"/>
        </w:rPr>
        <w:t>。</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以上承诺，如有违反，愿依照国家相关法律处理，并承担由此给采购人带来的损失。</w:t>
      </w:r>
    </w:p>
    <w:p>
      <w:pPr>
        <w:ind w:firstLine="645"/>
        <w:rPr>
          <w:rFonts w:asciiTheme="majorEastAsia" w:hAnsiTheme="majorEastAsia" w:eastAsiaTheme="majorEastAsia"/>
          <w:sz w:val="24"/>
        </w:rPr>
      </w:pPr>
      <w:r>
        <w:rPr>
          <w:rFonts w:hint="eastAsia" w:asciiTheme="majorEastAsia" w:hAnsiTheme="majorEastAsia" w:eastAsiaTheme="majorEastAsia"/>
          <w:sz w:val="24"/>
        </w:rPr>
        <w:t xml:space="preserve">                                             </w:t>
      </w:r>
    </w:p>
    <w:p>
      <w:pPr>
        <w:wordWrap w:val="0"/>
        <w:ind w:firstLine="645"/>
        <w:jc w:val="right"/>
        <w:rPr>
          <w:rFonts w:asciiTheme="majorEastAsia" w:hAnsiTheme="majorEastAsia" w:eastAsiaTheme="majorEastAsia"/>
          <w:sz w:val="24"/>
        </w:rPr>
      </w:pPr>
      <w:r>
        <w:rPr>
          <w:rFonts w:hint="eastAsia" w:asciiTheme="majorEastAsia" w:hAnsiTheme="majorEastAsia" w:eastAsiaTheme="majorEastAsia"/>
          <w:sz w:val="24"/>
        </w:rPr>
        <w:t xml:space="preserve">公司名称：                        </w:t>
      </w:r>
    </w:p>
    <w:p>
      <w:pPr>
        <w:pStyle w:val="9"/>
        <w:tabs>
          <w:tab w:val="left" w:pos="426"/>
        </w:tabs>
        <w:ind w:firstLine="420" w:firstLineChars="200"/>
        <w:rPr>
          <w:sz w:val="24"/>
        </w:rPr>
      </w:pPr>
      <w:r>
        <w:rPr>
          <w:rFonts w:hint="eastAsia" w:asciiTheme="majorEastAsia" w:hAnsiTheme="majorEastAsia" w:eastAsiaTheme="majorEastAsia"/>
          <w:b w:val="0"/>
        </w:rPr>
        <w:t xml:space="preserve">                                                         年   月    日</w:t>
      </w:r>
    </w:p>
    <w:p>
      <w:pPr>
        <w:pStyle w:val="9"/>
      </w:pPr>
    </w:p>
    <w:p>
      <w:pPr>
        <w:rPr>
          <w:rFonts w:hint="default"/>
          <w:lang w:val="en-US" w:eastAsia="zh-CN"/>
        </w:rPr>
      </w:pPr>
      <w:r>
        <w:rPr>
          <w:rFonts w:hint="default"/>
          <w:lang w:val="en-US" w:eastAsia="zh-CN"/>
        </w:rPr>
        <w:br w:type="page"/>
      </w:r>
    </w:p>
    <w:p>
      <w:pPr>
        <w:pStyle w:val="2"/>
        <w:jc w:val="center"/>
        <w:rPr>
          <w:rFonts w:hint="eastAsia"/>
          <w:lang w:val="en-US" w:eastAsia="zh-CN"/>
        </w:rPr>
      </w:pPr>
      <w:r>
        <w:rPr>
          <w:rFonts w:hint="eastAsia"/>
          <w:lang w:val="en-US" w:eastAsia="zh-CN"/>
        </w:rPr>
        <w:t>合同模板及主要条款</w:t>
      </w:r>
    </w:p>
    <w:p>
      <w:pPr>
        <w:jc w:val="center"/>
        <w:rPr>
          <w:rFonts w:hint="default"/>
          <w:lang w:val="en-US" w:eastAsia="zh-CN"/>
        </w:rPr>
      </w:pPr>
      <w:r>
        <w:rPr>
          <w:rFonts w:hint="eastAsia"/>
          <w:lang w:val="en-US" w:eastAsia="zh-CN"/>
        </w:rPr>
        <w:t>（以实际签订为准）</w:t>
      </w:r>
    </w:p>
    <w:p>
      <w:pPr>
        <w:pStyle w:val="2"/>
        <w:rPr>
          <w:rFonts w:hint="default"/>
          <w:lang w:val="en-US" w:eastAsia="zh-CN"/>
        </w:rPr>
      </w:pPr>
      <w:r>
        <w:rPr>
          <w:rFonts w:hint="default"/>
          <w:lang w:val="en-US" w:eastAsia="zh-CN"/>
        </w:rPr>
        <w:t>甲方（）：</w:t>
      </w:r>
    </w:p>
    <w:p>
      <w:pPr>
        <w:pStyle w:val="2"/>
        <w:rPr>
          <w:rFonts w:hint="default"/>
          <w:lang w:val="en-US" w:eastAsia="zh-CN"/>
        </w:rPr>
      </w:pPr>
      <w:r>
        <w:rPr>
          <w:rFonts w:hint="default"/>
          <w:lang w:val="en-US" w:eastAsia="zh-CN"/>
        </w:rPr>
        <w:t>住所：</w:t>
      </w:r>
    </w:p>
    <w:p>
      <w:pPr>
        <w:pStyle w:val="2"/>
        <w:rPr>
          <w:rFonts w:hint="default"/>
          <w:lang w:val="en-US" w:eastAsia="zh-CN"/>
        </w:rPr>
      </w:pPr>
      <w:r>
        <w:rPr>
          <w:rFonts w:hint="default"/>
          <w:lang w:val="en-US" w:eastAsia="zh-CN"/>
        </w:rPr>
        <w:t>联系人：</w:t>
      </w:r>
    </w:p>
    <w:p>
      <w:pPr>
        <w:pStyle w:val="2"/>
        <w:rPr>
          <w:rFonts w:hint="default"/>
          <w:lang w:val="en-US" w:eastAsia="zh-CN"/>
        </w:rPr>
      </w:pPr>
      <w:r>
        <w:rPr>
          <w:rFonts w:hint="default"/>
          <w:lang w:val="en-US" w:eastAsia="zh-CN"/>
        </w:rPr>
        <w:t>联系方式：</w:t>
      </w:r>
    </w:p>
    <w:p>
      <w:pPr>
        <w:pStyle w:val="2"/>
        <w:rPr>
          <w:rFonts w:hint="default"/>
          <w:lang w:val="en-US" w:eastAsia="zh-CN"/>
        </w:rPr>
      </w:pPr>
      <w:r>
        <w:rPr>
          <w:rFonts w:hint="default"/>
          <w:lang w:val="en-US" w:eastAsia="zh-CN"/>
        </w:rPr>
        <w:t>乙方（）：</w:t>
      </w:r>
    </w:p>
    <w:p>
      <w:pPr>
        <w:pStyle w:val="2"/>
        <w:rPr>
          <w:rFonts w:hint="default"/>
          <w:lang w:val="en-US" w:eastAsia="zh-CN"/>
        </w:rPr>
      </w:pPr>
      <w:r>
        <w:rPr>
          <w:rFonts w:hint="default"/>
          <w:lang w:val="en-US" w:eastAsia="zh-CN"/>
        </w:rPr>
        <w:t>住所：联系人：</w:t>
      </w:r>
    </w:p>
    <w:p>
      <w:pPr>
        <w:pStyle w:val="2"/>
        <w:rPr>
          <w:rFonts w:hint="default"/>
          <w:lang w:val="en-US" w:eastAsia="zh-CN"/>
        </w:rPr>
      </w:pPr>
      <w:r>
        <w:rPr>
          <w:rFonts w:hint="default"/>
          <w:lang w:val="en-US" w:eastAsia="zh-CN"/>
        </w:rPr>
        <w:t>联系方式：</w:t>
      </w:r>
    </w:p>
    <w:p>
      <w:pPr>
        <w:pStyle w:val="2"/>
        <w:rPr>
          <w:rFonts w:hint="default"/>
          <w:lang w:val="en-US" w:eastAsia="zh-CN"/>
        </w:rPr>
      </w:pPr>
      <w:r>
        <w:rPr>
          <w:rFonts w:hint="eastAsia"/>
          <w:lang w:val="en-US" w:eastAsia="zh-CN"/>
        </w:rPr>
        <w:t>丙</w:t>
      </w:r>
      <w:r>
        <w:rPr>
          <w:rFonts w:hint="default"/>
          <w:lang w:val="en-US" w:eastAsia="zh-CN"/>
        </w:rPr>
        <w:t>方（）：</w:t>
      </w:r>
    </w:p>
    <w:p>
      <w:pPr>
        <w:pStyle w:val="2"/>
        <w:rPr>
          <w:rFonts w:hint="default"/>
          <w:lang w:val="en-US" w:eastAsia="zh-CN"/>
        </w:rPr>
      </w:pPr>
      <w:r>
        <w:rPr>
          <w:rFonts w:hint="default"/>
          <w:lang w:val="en-US" w:eastAsia="zh-CN"/>
        </w:rPr>
        <w:t>住所：联系人：</w:t>
      </w:r>
    </w:p>
    <w:p>
      <w:pPr>
        <w:pStyle w:val="2"/>
        <w:rPr>
          <w:rFonts w:hint="default"/>
          <w:lang w:val="en-US" w:eastAsia="zh-CN"/>
        </w:rPr>
      </w:pPr>
      <w:r>
        <w:rPr>
          <w:rFonts w:hint="default"/>
          <w:lang w:val="en-US" w:eastAsia="zh-CN"/>
        </w:rPr>
        <w:t>联系方式：</w:t>
      </w:r>
    </w:p>
    <w:p>
      <w:pPr>
        <w:pStyle w:val="2"/>
        <w:rPr>
          <w:rFonts w:hint="default"/>
          <w:lang w:val="en-US" w:eastAsia="zh-CN"/>
        </w:rPr>
      </w:pPr>
    </w:p>
    <w:p>
      <w:pPr>
        <w:pStyle w:val="2"/>
        <w:ind w:firstLine="420" w:firstLineChars="0"/>
        <w:rPr>
          <w:rFonts w:hint="default"/>
          <w:lang w:val="en-US" w:eastAsia="zh-CN"/>
        </w:rPr>
      </w:pPr>
      <w:r>
        <w:rPr>
          <w:rFonts w:hint="default"/>
          <w:lang w:val="en-US" w:eastAsia="zh-CN"/>
        </w:rPr>
        <w:t xml:space="preserve">为贯彻“安全生产，预防为主”的方针，保障电梯安全运行，防止事故发生，依照《中华人民共和国民法典合同编》、《中华人民共和国特种设备安全法》、《特种设备安全监察条例》、《电梯使用管理与维护保养规则》（TSG T5001-2009）等规定，遵循平等、自愿、公平和诚实信用的原则，经甲乙双方协商订立本合同。 </w:t>
      </w:r>
    </w:p>
    <w:p>
      <w:pPr>
        <w:pStyle w:val="2"/>
        <w:rPr>
          <w:rFonts w:hint="default"/>
          <w:lang w:val="en-US" w:eastAsia="zh-CN"/>
        </w:rPr>
      </w:pPr>
      <w:r>
        <w:rPr>
          <w:rFonts w:hint="default"/>
          <w:lang w:val="en-US" w:eastAsia="zh-CN"/>
        </w:rPr>
        <w:t>第一条 日常维护保养的电梯</w:t>
      </w:r>
    </w:p>
    <w:p>
      <w:pPr>
        <w:pStyle w:val="2"/>
        <w:ind w:firstLine="420" w:firstLineChars="0"/>
        <w:rPr>
          <w:rFonts w:hint="default"/>
          <w:lang w:val="en-US" w:eastAsia="zh-CN"/>
        </w:rPr>
      </w:pPr>
      <w:r>
        <w:rPr>
          <w:rFonts w:hint="default"/>
          <w:lang w:val="en-US" w:eastAsia="zh-CN"/>
        </w:rPr>
        <w:t>甲乙双方约定，由乙方为本合同第五条中列明的甲方管理的电梯提供日常的维护、保养和抢修服务。</w:t>
      </w:r>
    </w:p>
    <w:p>
      <w:pPr>
        <w:pStyle w:val="2"/>
        <w:rPr>
          <w:rFonts w:hint="default"/>
          <w:lang w:val="en-US" w:eastAsia="zh-CN"/>
        </w:rPr>
      </w:pPr>
      <w:r>
        <w:rPr>
          <w:rFonts w:hint="default"/>
          <w:lang w:val="en-US" w:eastAsia="zh-CN"/>
        </w:rPr>
        <w:t>第二条 日常维护保养内容</w:t>
      </w:r>
    </w:p>
    <w:p>
      <w:pPr>
        <w:pStyle w:val="2"/>
        <w:ind w:firstLine="420" w:firstLineChars="0"/>
        <w:rPr>
          <w:rFonts w:hint="default"/>
          <w:lang w:val="en-US" w:eastAsia="zh-CN"/>
        </w:rPr>
      </w:pPr>
      <w:r>
        <w:rPr>
          <w:rFonts w:hint="default"/>
          <w:lang w:val="en-US" w:eastAsia="zh-CN"/>
        </w:rPr>
        <w:t>乙方应当按照《电梯使用管理与维护保养规则》完成半月、季度、半年、年保养项目，并做好维护保养记录。</w:t>
      </w:r>
    </w:p>
    <w:p>
      <w:pPr>
        <w:pStyle w:val="2"/>
        <w:rPr>
          <w:rFonts w:hint="default"/>
          <w:lang w:val="en-US" w:eastAsia="zh-CN"/>
        </w:rPr>
      </w:pPr>
      <w:r>
        <w:rPr>
          <w:rFonts w:hint="default"/>
          <w:lang w:val="en-US" w:eastAsia="zh-CN"/>
        </w:rPr>
        <w:t>第三条 日常维护保养标准</w:t>
      </w:r>
    </w:p>
    <w:p>
      <w:pPr>
        <w:pStyle w:val="2"/>
        <w:ind w:firstLine="420" w:firstLineChars="0"/>
        <w:rPr>
          <w:rFonts w:hint="default"/>
          <w:lang w:val="en-US" w:eastAsia="zh-CN"/>
        </w:rPr>
      </w:pPr>
      <w:r>
        <w:rPr>
          <w:rFonts w:hint="default"/>
          <w:lang w:val="en-US" w:eastAsia="zh-CN"/>
        </w:rPr>
        <w:t>实施日常维护保养后的电梯应当符合《电梯维修规范》（GB/T18775）、《电梯制造与安装安全规范》（GB 7588）和《自动扶梯和自动人行道的制造与安装安全规范》（GB 16899）的相关规定。</w:t>
      </w:r>
    </w:p>
    <w:p>
      <w:pPr>
        <w:pStyle w:val="2"/>
        <w:rPr>
          <w:rFonts w:hint="default"/>
          <w:lang w:val="en-US" w:eastAsia="zh-CN"/>
        </w:rPr>
      </w:pPr>
      <w:r>
        <w:rPr>
          <w:rFonts w:hint="default"/>
          <w:lang w:val="en-US" w:eastAsia="zh-CN"/>
        </w:rPr>
        <w:t>第四条 日常维护保养期限</w:t>
      </w:r>
    </w:p>
    <w:p>
      <w:pPr>
        <w:pStyle w:val="2"/>
        <w:ind w:firstLine="420" w:firstLineChars="0"/>
        <w:rPr>
          <w:rFonts w:hint="default"/>
          <w:lang w:val="en-US" w:eastAsia="zh-CN"/>
        </w:rPr>
      </w:pPr>
      <w:r>
        <w:rPr>
          <w:rFonts w:hint="default"/>
          <w:lang w:val="en-US" w:eastAsia="zh-CN"/>
        </w:rPr>
        <w:t>本合同约定维保期限 1 年，自2024年 3 月 28 日起至2025年 3 月 27 日止。</w:t>
      </w:r>
    </w:p>
    <w:p>
      <w:pPr>
        <w:pStyle w:val="2"/>
        <w:numPr>
          <w:ilvl w:val="0"/>
          <w:numId w:val="5"/>
        </w:numPr>
        <w:rPr>
          <w:rFonts w:hint="default"/>
          <w:lang w:val="en-US" w:eastAsia="zh-CN"/>
        </w:rPr>
      </w:pPr>
      <w:r>
        <w:rPr>
          <w:rFonts w:hint="default"/>
          <w:lang w:val="en-US" w:eastAsia="zh-CN"/>
        </w:rPr>
        <w:t>日常维护</w:t>
      </w:r>
      <w:r>
        <w:rPr>
          <w:rFonts w:hint="eastAsia"/>
          <w:lang w:val="en-US" w:eastAsia="zh-CN"/>
        </w:rPr>
        <w:t>内容及标准</w:t>
      </w:r>
    </w:p>
    <w:p>
      <w:pPr>
        <w:numPr>
          <w:ilvl w:val="0"/>
          <w:numId w:val="0"/>
        </w:numPr>
        <w:rPr>
          <w:rFonts w:hint="default"/>
          <w:lang w:val="en-US" w:eastAsia="zh-CN"/>
        </w:rPr>
      </w:pPr>
    </w:p>
    <w:p>
      <w:pPr>
        <w:pStyle w:val="2"/>
        <w:numPr>
          <w:ilvl w:val="0"/>
          <w:numId w:val="5"/>
        </w:numPr>
        <w:ind w:left="0" w:leftChars="0" w:firstLine="0" w:firstLineChars="0"/>
        <w:rPr>
          <w:rFonts w:hint="default"/>
          <w:lang w:val="en-US" w:eastAsia="zh-CN"/>
        </w:rPr>
      </w:pPr>
      <w:r>
        <w:rPr>
          <w:rFonts w:hint="default"/>
          <w:lang w:val="en-US" w:eastAsia="zh-CN"/>
        </w:rPr>
        <w:t xml:space="preserve"> </w:t>
      </w:r>
      <w:r>
        <w:rPr>
          <w:rFonts w:hint="eastAsia"/>
          <w:lang w:val="en-US" w:eastAsia="zh-CN"/>
        </w:rPr>
        <w:t>费用及</w:t>
      </w:r>
      <w:r>
        <w:rPr>
          <w:rFonts w:hint="default"/>
          <w:lang w:val="en-US" w:eastAsia="zh-CN"/>
        </w:rPr>
        <w:t>结算方式</w:t>
      </w:r>
    </w:p>
    <w:p>
      <w:pPr>
        <w:numPr>
          <w:ilvl w:val="0"/>
          <w:numId w:val="5"/>
        </w:numPr>
        <w:ind w:left="0" w:leftChars="0" w:firstLine="0" w:firstLineChars="0"/>
        <w:rPr>
          <w:rFonts w:hint="default"/>
          <w:lang w:val="en-US" w:eastAsia="zh-CN"/>
        </w:rPr>
      </w:pPr>
    </w:p>
    <w:p>
      <w:pPr>
        <w:pStyle w:val="2"/>
        <w:rPr>
          <w:rFonts w:hint="default"/>
          <w:lang w:val="en-US" w:eastAsia="zh-CN"/>
        </w:rPr>
      </w:pPr>
      <w:r>
        <w:rPr>
          <w:rFonts w:hint="default"/>
          <w:lang w:val="en-US" w:eastAsia="zh-CN"/>
        </w:rPr>
        <w:t>在申请付款之前，每次须开具提供足额、合规的发票，收到发票后  3 日内转账汇款至乙方指定账户。</w:t>
      </w:r>
    </w:p>
    <w:p>
      <w:pPr>
        <w:rPr>
          <w:rFonts w:hint="default"/>
          <w:lang w:val="en-US" w:eastAsia="zh-CN"/>
        </w:rPr>
      </w:pPr>
      <w:r>
        <w:rPr>
          <w:rFonts w:hint="eastAsia"/>
          <w:lang w:val="en-US" w:eastAsia="zh-CN"/>
        </w:rPr>
        <w:t>甲方、乙方信息</w:t>
      </w:r>
    </w:p>
    <w:p>
      <w:pPr>
        <w:pStyle w:val="2"/>
        <w:rPr>
          <w:rFonts w:hint="default"/>
          <w:lang w:val="en-US" w:eastAsia="zh-CN"/>
        </w:rPr>
      </w:pPr>
      <w:r>
        <w:rPr>
          <w:rFonts w:hint="eastAsia"/>
          <w:lang w:val="en-US" w:eastAsia="zh-CN"/>
        </w:rPr>
        <w:t>丙方</w:t>
      </w:r>
      <w:r>
        <w:rPr>
          <w:rFonts w:hint="default"/>
          <w:lang w:val="en-US" w:eastAsia="zh-CN"/>
        </w:rPr>
        <w:t>收款信息</w:t>
      </w:r>
    </w:p>
    <w:p>
      <w:pPr>
        <w:pStyle w:val="2"/>
        <w:rPr>
          <w:rFonts w:hint="default"/>
          <w:lang w:val="en-US" w:eastAsia="zh-CN"/>
        </w:rPr>
      </w:pPr>
      <w:r>
        <w:rPr>
          <w:rFonts w:hint="default"/>
          <w:lang w:val="en-US" w:eastAsia="zh-CN"/>
        </w:rPr>
        <w:t>户名：</w:t>
      </w:r>
    </w:p>
    <w:p>
      <w:pPr>
        <w:pStyle w:val="2"/>
        <w:rPr>
          <w:rFonts w:hint="default"/>
          <w:lang w:val="en-US" w:eastAsia="zh-CN"/>
        </w:rPr>
      </w:pPr>
      <w:r>
        <w:rPr>
          <w:rFonts w:hint="default"/>
          <w:lang w:val="en-US" w:eastAsia="zh-CN"/>
        </w:rPr>
        <w:t>账号：</w:t>
      </w:r>
    </w:p>
    <w:p>
      <w:pPr>
        <w:pStyle w:val="2"/>
        <w:rPr>
          <w:rFonts w:hint="default"/>
          <w:lang w:val="en-US" w:eastAsia="zh-CN"/>
        </w:rPr>
      </w:pPr>
      <w:r>
        <w:rPr>
          <w:rFonts w:hint="default"/>
          <w:lang w:val="en-US" w:eastAsia="zh-CN"/>
        </w:rPr>
        <w:t>开户行：</w:t>
      </w:r>
    </w:p>
    <w:p>
      <w:pPr>
        <w:pStyle w:val="2"/>
        <w:rPr>
          <w:rFonts w:hint="default"/>
          <w:lang w:val="en-US" w:eastAsia="zh-CN"/>
        </w:rPr>
      </w:pPr>
      <w:r>
        <w:rPr>
          <w:rFonts w:hint="default"/>
          <w:lang w:val="en-US" w:eastAsia="zh-CN"/>
        </w:rPr>
        <w:t>如</w:t>
      </w:r>
      <w:r>
        <w:rPr>
          <w:rFonts w:hint="eastAsia"/>
          <w:lang w:val="en-US" w:eastAsia="zh-CN"/>
        </w:rPr>
        <w:t>丙</w:t>
      </w:r>
      <w:r>
        <w:rPr>
          <w:rFonts w:hint="default"/>
          <w:lang w:val="en-US" w:eastAsia="zh-CN"/>
        </w:rPr>
        <w:t>方上述账户信息发生变更或注销，需提前10个工作日书面通知</w:t>
      </w:r>
      <w:r>
        <w:rPr>
          <w:rFonts w:hint="eastAsia"/>
          <w:lang w:val="en-US" w:eastAsia="zh-CN"/>
        </w:rPr>
        <w:t>甲方、乙方丙方</w:t>
      </w:r>
      <w:r>
        <w:rPr>
          <w:rFonts w:hint="default"/>
          <w:lang w:val="en-US" w:eastAsia="zh-CN"/>
        </w:rPr>
        <w:t>，如因未及时通知</w:t>
      </w:r>
      <w:r>
        <w:rPr>
          <w:rFonts w:hint="eastAsia"/>
          <w:lang w:val="en-US" w:eastAsia="zh-CN"/>
        </w:rPr>
        <w:t>甲方、乙方</w:t>
      </w:r>
      <w:r>
        <w:rPr>
          <w:rFonts w:hint="default"/>
          <w:lang w:val="en-US" w:eastAsia="zh-CN"/>
        </w:rPr>
        <w:t>导致迟延付款、错误付款或付款不能等情况，则由</w:t>
      </w:r>
      <w:r>
        <w:rPr>
          <w:rFonts w:hint="eastAsia"/>
          <w:lang w:val="en-US" w:eastAsia="zh-CN"/>
        </w:rPr>
        <w:t>丙方</w:t>
      </w:r>
      <w:r>
        <w:rPr>
          <w:rFonts w:hint="default"/>
          <w:lang w:val="en-US" w:eastAsia="zh-CN"/>
        </w:rPr>
        <w:t>自行承担相应损失。</w:t>
      </w:r>
    </w:p>
    <w:p>
      <w:pPr>
        <w:pStyle w:val="2"/>
        <w:rPr>
          <w:rFonts w:hint="default"/>
          <w:lang w:val="en-US" w:eastAsia="zh-CN"/>
        </w:rPr>
      </w:pPr>
      <w:r>
        <w:rPr>
          <w:rFonts w:hint="default"/>
          <w:lang w:val="en-US" w:eastAsia="zh-CN"/>
        </w:rPr>
        <w:t xml:space="preserve">    若根据本合同约定</w:t>
      </w:r>
      <w:r>
        <w:rPr>
          <w:rFonts w:hint="eastAsia"/>
          <w:lang w:val="en-US" w:eastAsia="zh-CN"/>
        </w:rPr>
        <w:t>丙方</w:t>
      </w:r>
      <w:r>
        <w:rPr>
          <w:rFonts w:hint="default"/>
          <w:lang w:val="en-US" w:eastAsia="zh-CN"/>
        </w:rPr>
        <w:t>应当支付违约金/或承担赔偿责任，则</w:t>
      </w:r>
      <w:r>
        <w:rPr>
          <w:rFonts w:hint="eastAsia"/>
          <w:lang w:val="en-US" w:eastAsia="zh-CN"/>
        </w:rPr>
        <w:t>甲方、乙方</w:t>
      </w:r>
      <w:r>
        <w:rPr>
          <w:rFonts w:hint="default"/>
          <w:lang w:val="en-US" w:eastAsia="zh-CN"/>
        </w:rPr>
        <w:t>有权从上述款项中直接扣除相应的金额。</w:t>
      </w:r>
    </w:p>
    <w:p>
      <w:pPr>
        <w:pStyle w:val="2"/>
        <w:rPr>
          <w:rFonts w:hint="default"/>
          <w:lang w:val="en-US" w:eastAsia="zh-CN"/>
        </w:rPr>
      </w:pPr>
      <w:r>
        <w:rPr>
          <w:rFonts w:hint="default"/>
          <w:lang w:val="en-US" w:eastAsia="zh-CN"/>
        </w:rPr>
        <w:t>2、</w:t>
      </w:r>
      <w:r>
        <w:rPr>
          <w:rFonts w:hint="eastAsia"/>
          <w:lang w:val="en-US" w:eastAsia="zh-CN"/>
        </w:rPr>
        <w:t>丙方</w:t>
      </w:r>
      <w:r>
        <w:rPr>
          <w:rFonts w:hint="default"/>
          <w:lang w:val="en-US" w:eastAsia="zh-CN"/>
        </w:rPr>
        <w:t>应向</w:t>
      </w:r>
      <w:r>
        <w:rPr>
          <w:rFonts w:hint="eastAsia"/>
          <w:lang w:val="en-US" w:eastAsia="zh-CN"/>
        </w:rPr>
        <w:t>甲方、乙方</w:t>
      </w:r>
      <w:r>
        <w:rPr>
          <w:rFonts w:hint="default"/>
          <w:lang w:val="en-US" w:eastAsia="zh-CN"/>
        </w:rPr>
        <w:t>开具符合国家规定的增值税普通发票，并承诺开具发票的形式与内容均合法、有效、完整、准确。如果</w:t>
      </w:r>
      <w:r>
        <w:rPr>
          <w:rFonts w:hint="eastAsia"/>
          <w:lang w:val="en-US" w:eastAsia="zh-CN"/>
        </w:rPr>
        <w:t>丙方</w:t>
      </w:r>
      <w:r>
        <w:rPr>
          <w:rFonts w:hint="default"/>
          <w:lang w:val="en-US" w:eastAsia="zh-CN"/>
        </w:rPr>
        <w:t>开具的发票不合法合规，</w:t>
      </w:r>
      <w:r>
        <w:rPr>
          <w:rFonts w:hint="eastAsia"/>
          <w:lang w:val="en-US" w:eastAsia="zh-CN"/>
        </w:rPr>
        <w:t>甲方、乙方</w:t>
      </w:r>
      <w:r>
        <w:rPr>
          <w:rFonts w:hint="default"/>
          <w:lang w:val="en-US" w:eastAsia="zh-CN"/>
        </w:rPr>
        <w:t>有权延迟支付应付</w:t>
      </w:r>
      <w:r>
        <w:rPr>
          <w:rFonts w:hint="eastAsia"/>
          <w:lang w:val="en-US" w:eastAsia="zh-CN"/>
        </w:rPr>
        <w:t>丙方</w:t>
      </w:r>
      <w:r>
        <w:rPr>
          <w:rFonts w:hint="default"/>
          <w:lang w:val="en-US" w:eastAsia="zh-CN"/>
        </w:rPr>
        <w:t>的款项直至</w:t>
      </w:r>
      <w:r>
        <w:rPr>
          <w:rFonts w:hint="eastAsia"/>
          <w:lang w:val="en-US" w:eastAsia="zh-CN"/>
        </w:rPr>
        <w:t>丙方</w:t>
      </w:r>
      <w:r>
        <w:rPr>
          <w:rFonts w:hint="default"/>
          <w:lang w:val="en-US" w:eastAsia="zh-CN"/>
        </w:rPr>
        <w:t>开具出合法合规的发票，</w:t>
      </w:r>
      <w:r>
        <w:rPr>
          <w:rFonts w:hint="eastAsia"/>
          <w:lang w:val="en-US" w:eastAsia="zh-CN"/>
        </w:rPr>
        <w:t>甲方、乙方</w:t>
      </w:r>
      <w:r>
        <w:rPr>
          <w:rFonts w:hint="default"/>
          <w:lang w:val="en-US" w:eastAsia="zh-CN"/>
        </w:rPr>
        <w:t xml:space="preserve">对于因此导致的延迟付款不承担违约责任。 </w:t>
      </w:r>
    </w:p>
    <w:p>
      <w:pPr>
        <w:pStyle w:val="2"/>
        <w:rPr>
          <w:rFonts w:hint="default"/>
          <w:lang w:val="en-US" w:eastAsia="zh-CN"/>
        </w:rPr>
      </w:pPr>
      <w:r>
        <w:rPr>
          <w:rFonts w:hint="default"/>
          <w:lang w:val="en-US" w:eastAsia="zh-CN"/>
        </w:rPr>
        <w:t>第七条 日常维护保养方式</w:t>
      </w:r>
    </w:p>
    <w:p>
      <w:pPr>
        <w:pStyle w:val="2"/>
        <w:rPr>
          <w:rFonts w:hint="default"/>
          <w:lang w:val="en-US" w:eastAsia="zh-CN"/>
        </w:rPr>
      </w:pPr>
      <w:r>
        <w:rPr>
          <w:rFonts w:hint="default"/>
          <w:lang w:val="en-US" w:eastAsia="zh-CN"/>
        </w:rPr>
        <w:t xml:space="preserve">    日常维护保养是指对电梯进行的清洁、润滑、调整和检查等日常维护或保养性工作。其中清洁、润滑不包括部件的解体，调整只限于不会改变任何安全性能参数的调整。</w:t>
      </w:r>
    </w:p>
    <w:p>
      <w:pPr>
        <w:pStyle w:val="2"/>
        <w:rPr>
          <w:rFonts w:hint="default"/>
          <w:lang w:val="en-US" w:eastAsia="zh-CN"/>
        </w:rPr>
      </w:pPr>
      <w:r>
        <w:rPr>
          <w:rFonts w:hint="default"/>
          <w:lang w:val="en-US" w:eastAsia="zh-CN"/>
        </w:rPr>
        <w:t>半包：提供维保所需工具和劳务，并免费提供单价在人民币 200 元以下（含本数）电梯零部件。在</w:t>
      </w:r>
      <w:r>
        <w:rPr>
          <w:rFonts w:hint="eastAsia"/>
          <w:lang w:val="en-US" w:eastAsia="zh-CN"/>
        </w:rPr>
        <w:t>丙方</w:t>
      </w:r>
      <w:r>
        <w:rPr>
          <w:rFonts w:hint="default"/>
          <w:lang w:val="en-US" w:eastAsia="zh-CN"/>
        </w:rPr>
        <w:t>进行零件更换前，必须经</w:t>
      </w:r>
      <w:r>
        <w:rPr>
          <w:rFonts w:hint="eastAsia"/>
          <w:lang w:val="en-US" w:eastAsia="zh-CN"/>
        </w:rPr>
        <w:t>甲方、乙方</w:t>
      </w:r>
      <w:r>
        <w:rPr>
          <w:rFonts w:hint="default"/>
          <w:lang w:val="en-US" w:eastAsia="zh-CN"/>
        </w:rPr>
        <w:t>人员确认更换零件的价格和质量，若</w:t>
      </w:r>
      <w:r>
        <w:rPr>
          <w:rFonts w:hint="eastAsia"/>
          <w:lang w:val="en-US" w:eastAsia="zh-CN"/>
        </w:rPr>
        <w:t>丙方</w:t>
      </w:r>
      <w:r>
        <w:rPr>
          <w:rFonts w:hint="default"/>
          <w:lang w:val="en-US" w:eastAsia="zh-CN"/>
        </w:rPr>
        <w:t>采用不合格零部件造成电梯故障、事故由</w:t>
      </w:r>
      <w:r>
        <w:rPr>
          <w:rFonts w:hint="eastAsia"/>
          <w:lang w:val="en-US" w:eastAsia="zh-CN"/>
        </w:rPr>
        <w:t>丙方</w:t>
      </w:r>
      <w:r>
        <w:rPr>
          <w:rFonts w:hint="default"/>
          <w:lang w:val="en-US" w:eastAsia="zh-CN"/>
        </w:rPr>
        <w:t>负全责。</w:t>
      </w:r>
    </w:p>
    <w:p>
      <w:pPr>
        <w:pStyle w:val="2"/>
        <w:rPr>
          <w:rFonts w:hint="default"/>
          <w:lang w:val="en-US" w:eastAsia="zh-CN"/>
        </w:rPr>
      </w:pPr>
      <w:r>
        <w:rPr>
          <w:rFonts w:hint="default"/>
          <w:lang w:val="en-US" w:eastAsia="zh-CN"/>
        </w:rPr>
        <w:t xml:space="preserve">第八条 </w:t>
      </w:r>
      <w:r>
        <w:rPr>
          <w:rFonts w:hint="eastAsia"/>
          <w:lang w:val="en-US" w:eastAsia="zh-CN"/>
        </w:rPr>
        <w:t>丙方</w:t>
      </w:r>
      <w:r>
        <w:rPr>
          <w:rFonts w:hint="default"/>
          <w:lang w:val="en-US" w:eastAsia="zh-CN"/>
        </w:rPr>
        <w:t>抢修服务</w:t>
      </w:r>
      <w:r>
        <w:rPr>
          <w:rFonts w:hint="eastAsia"/>
          <w:lang w:val="en-US" w:eastAsia="zh-CN"/>
        </w:rPr>
        <w:t>联系人</w:t>
      </w:r>
    </w:p>
    <w:p>
      <w:pPr>
        <w:pStyle w:val="2"/>
        <w:rPr>
          <w:rFonts w:hint="default"/>
          <w:lang w:val="en-US" w:eastAsia="zh-CN"/>
        </w:rPr>
      </w:pPr>
      <w:r>
        <w:rPr>
          <w:rFonts w:hint="default"/>
          <w:lang w:val="en-US" w:eastAsia="zh-CN"/>
        </w:rPr>
        <w:t>第九条 驻场服务</w:t>
      </w:r>
    </w:p>
    <w:p>
      <w:pPr>
        <w:pStyle w:val="2"/>
        <w:rPr>
          <w:rFonts w:hint="default"/>
          <w:lang w:val="en-US" w:eastAsia="zh-CN"/>
        </w:rPr>
      </w:pPr>
      <w:r>
        <w:rPr>
          <w:rFonts w:hint="default"/>
          <w:lang w:val="en-US" w:eastAsia="zh-CN"/>
        </w:rPr>
        <w:t>1、是否提供驻场要求：提供。</w:t>
      </w:r>
    </w:p>
    <w:p>
      <w:pPr>
        <w:pStyle w:val="2"/>
        <w:rPr>
          <w:rFonts w:hint="default"/>
          <w:lang w:val="en-US" w:eastAsia="zh-CN"/>
        </w:rPr>
      </w:pPr>
      <w:r>
        <w:rPr>
          <w:rFonts w:hint="default"/>
          <w:lang w:val="en-US" w:eastAsia="zh-CN"/>
        </w:rPr>
        <w:t xml:space="preserve">2、驻场人数共计  1 人。   </w:t>
      </w:r>
    </w:p>
    <w:p>
      <w:pPr>
        <w:pStyle w:val="2"/>
        <w:rPr>
          <w:rFonts w:hint="default"/>
          <w:lang w:val="en-US" w:eastAsia="zh-CN"/>
        </w:rPr>
      </w:pPr>
      <w:r>
        <w:rPr>
          <w:rFonts w:hint="default"/>
          <w:lang w:val="en-US" w:eastAsia="zh-CN"/>
        </w:rPr>
        <w:t>第十条 </w:t>
      </w:r>
      <w:r>
        <w:rPr>
          <w:rFonts w:hint="eastAsia"/>
          <w:lang w:val="en-US" w:eastAsia="zh-CN"/>
        </w:rPr>
        <w:t>甲方、乙方</w:t>
      </w:r>
      <w:r>
        <w:rPr>
          <w:rFonts w:hint="default"/>
          <w:lang w:val="en-US" w:eastAsia="zh-CN"/>
        </w:rPr>
        <w:t xml:space="preserve">权利、义务   </w:t>
      </w:r>
    </w:p>
    <w:p>
      <w:pPr>
        <w:pStyle w:val="2"/>
        <w:rPr>
          <w:rFonts w:hint="default"/>
          <w:lang w:val="en-US" w:eastAsia="zh-CN"/>
        </w:rPr>
      </w:pPr>
      <w:r>
        <w:rPr>
          <w:rFonts w:hint="default"/>
          <w:lang w:val="en-US" w:eastAsia="zh-CN"/>
        </w:rPr>
        <w:t>1、有权监督检查</w:t>
      </w:r>
      <w:r>
        <w:rPr>
          <w:rFonts w:hint="eastAsia"/>
          <w:lang w:val="en-US" w:eastAsia="zh-CN"/>
        </w:rPr>
        <w:t>丙方</w:t>
      </w:r>
      <w:r>
        <w:rPr>
          <w:rFonts w:hint="default"/>
          <w:lang w:val="en-US" w:eastAsia="zh-CN"/>
        </w:rPr>
        <w:t>依照合同约定实施维保计划的情况，监督经</w:t>
      </w:r>
      <w:r>
        <w:rPr>
          <w:rFonts w:hint="eastAsia"/>
          <w:lang w:val="en-US" w:eastAsia="zh-CN"/>
        </w:rPr>
        <w:t>丙方</w:t>
      </w:r>
      <w:r>
        <w:rPr>
          <w:rFonts w:hint="default"/>
          <w:lang w:val="en-US" w:eastAsia="zh-CN"/>
        </w:rPr>
        <w:t>维保后的电梯是否符合法律法规、安全技术规范、强制性标准和电梯制造单位的技术要求，监督电梯安全性能是否良好。 </w:t>
      </w:r>
    </w:p>
    <w:p>
      <w:pPr>
        <w:pStyle w:val="2"/>
        <w:rPr>
          <w:rFonts w:hint="default"/>
          <w:lang w:val="en-US" w:eastAsia="zh-CN"/>
        </w:rPr>
      </w:pPr>
      <w:r>
        <w:rPr>
          <w:rFonts w:hint="default"/>
          <w:lang w:val="en-US" w:eastAsia="zh-CN"/>
        </w:rPr>
        <w:t>2、有权检查受</w:t>
      </w:r>
      <w:r>
        <w:rPr>
          <w:rFonts w:hint="eastAsia"/>
          <w:lang w:val="en-US" w:eastAsia="zh-CN"/>
        </w:rPr>
        <w:t>丙方</w:t>
      </w:r>
      <w:r>
        <w:rPr>
          <w:rFonts w:hint="default"/>
          <w:lang w:val="en-US" w:eastAsia="zh-CN"/>
        </w:rPr>
        <w:t>委派为本单位电梯提供维保服务人员的持证上岗情况，有权拒绝无证人员开展维保工作，有权要求</w:t>
      </w:r>
      <w:r>
        <w:rPr>
          <w:rFonts w:hint="eastAsia"/>
          <w:lang w:val="en-US" w:eastAsia="zh-CN"/>
        </w:rPr>
        <w:t>丙方</w:t>
      </w:r>
      <w:r>
        <w:rPr>
          <w:rFonts w:hint="default"/>
          <w:lang w:val="en-US" w:eastAsia="zh-CN"/>
        </w:rPr>
        <w:t>人员服从本单位现场安全管理，对不服从现场安全管理的</w:t>
      </w:r>
      <w:r>
        <w:rPr>
          <w:rFonts w:hint="eastAsia"/>
          <w:lang w:val="en-US" w:eastAsia="zh-CN"/>
        </w:rPr>
        <w:t>丙方</w:t>
      </w:r>
      <w:r>
        <w:rPr>
          <w:rFonts w:hint="default"/>
          <w:lang w:val="en-US" w:eastAsia="zh-CN"/>
        </w:rPr>
        <w:t>人员，有权要求</w:t>
      </w:r>
      <w:r>
        <w:rPr>
          <w:rFonts w:hint="eastAsia"/>
          <w:lang w:val="en-US" w:eastAsia="zh-CN"/>
        </w:rPr>
        <w:t>丙方</w:t>
      </w:r>
      <w:r>
        <w:rPr>
          <w:rFonts w:hint="default"/>
          <w:lang w:val="en-US" w:eastAsia="zh-CN"/>
        </w:rPr>
        <w:t xml:space="preserve">更换人员。  </w:t>
      </w:r>
    </w:p>
    <w:p>
      <w:pPr>
        <w:pStyle w:val="2"/>
        <w:rPr>
          <w:rFonts w:hint="default"/>
          <w:lang w:val="en-US" w:eastAsia="zh-CN"/>
        </w:rPr>
      </w:pPr>
      <w:r>
        <w:rPr>
          <w:rFonts w:hint="default"/>
          <w:lang w:val="en-US" w:eastAsia="zh-CN"/>
        </w:rPr>
        <w:t>3、除国家规定的法定监督检验与定期检验外，有权委托特种设备检验机构或第三方中介机构对</w:t>
      </w:r>
      <w:r>
        <w:rPr>
          <w:rFonts w:hint="eastAsia"/>
          <w:lang w:val="en-US" w:eastAsia="zh-CN"/>
        </w:rPr>
        <w:t>丙方</w:t>
      </w:r>
      <w:r>
        <w:rPr>
          <w:rFonts w:hint="default"/>
          <w:lang w:val="en-US" w:eastAsia="zh-CN"/>
        </w:rPr>
        <w:t xml:space="preserve">按照合同约定实施维保工作的情况进行监督。    </w:t>
      </w:r>
    </w:p>
    <w:p>
      <w:pPr>
        <w:pStyle w:val="2"/>
        <w:rPr>
          <w:rFonts w:hint="default"/>
          <w:lang w:val="en-US" w:eastAsia="zh-CN"/>
        </w:rPr>
      </w:pPr>
      <w:r>
        <w:rPr>
          <w:rFonts w:hint="default"/>
          <w:lang w:val="en-US" w:eastAsia="zh-CN"/>
        </w:rPr>
        <w:t>4、建立电梯安全运行的相关管理机构、制度，确保制度、人员、资金落实到位。</w:t>
      </w:r>
    </w:p>
    <w:p>
      <w:pPr>
        <w:pStyle w:val="2"/>
        <w:rPr>
          <w:rFonts w:hint="default"/>
          <w:lang w:val="en-US" w:eastAsia="zh-CN"/>
        </w:rPr>
      </w:pPr>
      <w:r>
        <w:rPr>
          <w:rFonts w:hint="default"/>
          <w:lang w:val="en-US" w:eastAsia="zh-CN"/>
        </w:rPr>
        <w:t xml:space="preserve">5、按照合同约定按期支付维保和零部件款。  </w:t>
      </w:r>
    </w:p>
    <w:p>
      <w:pPr>
        <w:pStyle w:val="2"/>
        <w:rPr>
          <w:rFonts w:hint="default"/>
          <w:lang w:val="en-US" w:eastAsia="zh-CN"/>
        </w:rPr>
      </w:pPr>
      <w:r>
        <w:rPr>
          <w:rFonts w:hint="default"/>
          <w:lang w:val="en-US" w:eastAsia="zh-CN"/>
        </w:rPr>
        <w:t>6、配备持有电梯安全管理员资格证件的人员负责电梯的日常安全管理工作，并在更换电梯管理人员时及时通知</w:t>
      </w:r>
      <w:r>
        <w:rPr>
          <w:rFonts w:hint="eastAsia"/>
          <w:lang w:val="en-US" w:eastAsia="zh-CN"/>
        </w:rPr>
        <w:t>丙方</w:t>
      </w:r>
      <w:r>
        <w:rPr>
          <w:rFonts w:hint="default"/>
          <w:lang w:val="en-US" w:eastAsia="zh-CN"/>
        </w:rPr>
        <w:t xml:space="preserve">。督促电梯安全管理人员按照电梯使用检查表完成电梯的日常检查工作和每月检查工作，并严格按照电梯钥匙使用管理有关要求对电梯钥匙进行管理，实行钥匙领用登记，不将电梯钥匙交给非持证人员使用。  </w:t>
      </w:r>
    </w:p>
    <w:p>
      <w:pPr>
        <w:pStyle w:val="2"/>
        <w:rPr>
          <w:rFonts w:hint="default"/>
          <w:lang w:val="en-US" w:eastAsia="zh-CN"/>
        </w:rPr>
      </w:pPr>
      <w:r>
        <w:rPr>
          <w:rFonts w:hint="default"/>
          <w:lang w:val="en-US" w:eastAsia="zh-CN"/>
        </w:rPr>
        <w:t>7、督促电梯安全管理人员现场监督检查</w:t>
      </w:r>
      <w:r>
        <w:rPr>
          <w:rFonts w:hint="eastAsia"/>
          <w:lang w:val="en-US" w:eastAsia="zh-CN"/>
        </w:rPr>
        <w:t>丙方</w:t>
      </w:r>
      <w:r>
        <w:rPr>
          <w:rFonts w:hint="default"/>
          <w:lang w:val="en-US" w:eastAsia="zh-CN"/>
        </w:rPr>
        <w:t>的电梯保养工作过程和结果、对</w:t>
      </w:r>
      <w:r>
        <w:rPr>
          <w:rFonts w:hint="eastAsia"/>
          <w:lang w:val="en-US" w:eastAsia="zh-CN"/>
        </w:rPr>
        <w:t>丙方</w:t>
      </w:r>
      <w:r>
        <w:rPr>
          <w:rFonts w:hint="default"/>
          <w:lang w:val="en-US" w:eastAsia="zh-CN"/>
        </w:rPr>
        <w:t>的维保记录、修理记录签字确认，签收</w:t>
      </w:r>
      <w:r>
        <w:rPr>
          <w:rFonts w:hint="eastAsia"/>
          <w:lang w:val="en-US" w:eastAsia="zh-CN"/>
        </w:rPr>
        <w:t>丙方</w:t>
      </w:r>
      <w:r>
        <w:rPr>
          <w:rFonts w:hint="default"/>
          <w:lang w:val="en-US" w:eastAsia="zh-CN"/>
        </w:rPr>
        <w:t>提交的与电梯维保工作有关的文件。</w:t>
      </w:r>
    </w:p>
    <w:p>
      <w:pPr>
        <w:pStyle w:val="2"/>
        <w:rPr>
          <w:rFonts w:hint="default"/>
          <w:lang w:val="en-US" w:eastAsia="zh-CN"/>
        </w:rPr>
      </w:pPr>
      <w:r>
        <w:rPr>
          <w:rFonts w:hint="default"/>
          <w:lang w:val="en-US" w:eastAsia="zh-CN"/>
        </w:rPr>
        <w:t>8、电梯发生故障或异常情况时应当立即停止使用，并做好相关安全防护措施。在电梯的日常使用时间内，确保值班人员可靠接收求救电话、警铃装置发出的求救信号，及时通知</w:t>
      </w:r>
      <w:r>
        <w:rPr>
          <w:rFonts w:hint="eastAsia"/>
          <w:lang w:val="en-US" w:eastAsia="zh-CN"/>
        </w:rPr>
        <w:t>丙方</w:t>
      </w:r>
      <w:r>
        <w:rPr>
          <w:rFonts w:hint="default"/>
          <w:lang w:val="en-US" w:eastAsia="zh-CN"/>
        </w:rPr>
        <w:t>抢修，并详细记录相关工作的具体时间。 </w:t>
      </w:r>
    </w:p>
    <w:p>
      <w:pPr>
        <w:pStyle w:val="2"/>
        <w:rPr>
          <w:rFonts w:hint="default"/>
          <w:lang w:val="en-US" w:eastAsia="zh-CN"/>
        </w:rPr>
      </w:pPr>
      <w:r>
        <w:rPr>
          <w:rFonts w:hint="default"/>
          <w:lang w:val="en-US" w:eastAsia="zh-CN"/>
        </w:rPr>
        <w:t xml:space="preserve">    9、制订有关电梯的应急救援预案（如：电梯困人、消防、电梯水浸、自动扶梯人身伤害等）。每年至少一次定期开展应急救援演练，确保应急系统运行有效。  </w:t>
      </w:r>
    </w:p>
    <w:p>
      <w:pPr>
        <w:pStyle w:val="2"/>
        <w:rPr>
          <w:rFonts w:hint="default"/>
          <w:lang w:val="en-US" w:eastAsia="zh-CN"/>
        </w:rPr>
      </w:pPr>
      <w:r>
        <w:rPr>
          <w:rFonts w:hint="default"/>
          <w:lang w:val="en-US" w:eastAsia="zh-CN"/>
        </w:rPr>
        <w:t xml:space="preserve">10、保证电梯供电、消防、防雷、通风等系统安全可靠，满足国家标准规定。  </w:t>
      </w:r>
    </w:p>
    <w:p>
      <w:pPr>
        <w:pStyle w:val="2"/>
        <w:rPr>
          <w:rFonts w:hint="default"/>
          <w:lang w:val="en-US" w:eastAsia="zh-CN"/>
        </w:rPr>
      </w:pPr>
      <w:r>
        <w:rPr>
          <w:rFonts w:hint="default"/>
          <w:lang w:val="en-US" w:eastAsia="zh-CN"/>
        </w:rPr>
        <w:t>11、为</w:t>
      </w:r>
      <w:r>
        <w:rPr>
          <w:rFonts w:hint="eastAsia"/>
          <w:lang w:val="en-US" w:eastAsia="zh-CN"/>
        </w:rPr>
        <w:t>丙方</w:t>
      </w:r>
      <w:r>
        <w:rPr>
          <w:rFonts w:hint="default"/>
          <w:lang w:val="en-US" w:eastAsia="zh-CN"/>
        </w:rPr>
        <w:t>提供维保所需的工作环境。保证机房、井道、底坑无漏水、渗水现象。通往机房、底坑、滑轮间、井道安全门的通道畅通、照明充分；确保作业环境中应由</w:t>
      </w:r>
      <w:r>
        <w:rPr>
          <w:rFonts w:hint="eastAsia"/>
          <w:lang w:val="en-US" w:eastAsia="zh-CN"/>
        </w:rPr>
        <w:t>甲方、乙方</w:t>
      </w:r>
      <w:r>
        <w:rPr>
          <w:rFonts w:hint="default"/>
          <w:lang w:val="en-US" w:eastAsia="zh-CN"/>
        </w:rPr>
        <w:t xml:space="preserve">提供的安全防护措施到位，避免无关人员进入。  </w:t>
      </w:r>
    </w:p>
    <w:p>
      <w:pPr>
        <w:pStyle w:val="2"/>
        <w:rPr>
          <w:rFonts w:hint="default"/>
          <w:lang w:val="en-US" w:eastAsia="zh-CN"/>
        </w:rPr>
      </w:pPr>
      <w:r>
        <w:rPr>
          <w:rFonts w:hint="default"/>
          <w:lang w:val="en-US" w:eastAsia="zh-CN"/>
        </w:rPr>
        <w:t xml:space="preserve">12、采取有效措施监控电梯使用情况，积极主动开展文明乘梯宣传活动，及时制止乘客不文明乘梯行为或恶意破坏电梯的行为。  </w:t>
      </w:r>
    </w:p>
    <w:p>
      <w:pPr>
        <w:pStyle w:val="2"/>
        <w:rPr>
          <w:rFonts w:hint="default"/>
          <w:lang w:val="en-US" w:eastAsia="zh-CN"/>
        </w:rPr>
      </w:pPr>
      <w:r>
        <w:rPr>
          <w:rFonts w:hint="default"/>
          <w:lang w:val="en-US" w:eastAsia="zh-CN"/>
        </w:rPr>
        <w:t>13、在维保期间内，</w:t>
      </w:r>
      <w:r>
        <w:rPr>
          <w:rFonts w:hint="eastAsia"/>
          <w:lang w:val="en-US" w:eastAsia="zh-CN"/>
        </w:rPr>
        <w:t>甲方、乙方</w:t>
      </w:r>
      <w:r>
        <w:rPr>
          <w:rFonts w:hint="default"/>
          <w:lang w:val="en-US" w:eastAsia="zh-CN"/>
        </w:rPr>
        <w:t>不得委托其他单位或个人对电梯进行维护保养（但</w:t>
      </w:r>
      <w:r>
        <w:rPr>
          <w:rFonts w:hint="eastAsia"/>
          <w:lang w:val="en-US" w:eastAsia="zh-CN"/>
        </w:rPr>
        <w:t>丙方</w:t>
      </w:r>
      <w:r>
        <w:rPr>
          <w:rFonts w:hint="default"/>
          <w:lang w:val="en-US" w:eastAsia="zh-CN"/>
        </w:rPr>
        <w:t>怠于、拒绝履行合同义务，可能导致出现电梯安全事故的，</w:t>
      </w:r>
      <w:r>
        <w:rPr>
          <w:rFonts w:hint="eastAsia"/>
          <w:lang w:val="en-US" w:eastAsia="zh-CN"/>
        </w:rPr>
        <w:t>甲方、乙方</w:t>
      </w:r>
      <w:r>
        <w:rPr>
          <w:rFonts w:hint="default"/>
          <w:lang w:val="en-US" w:eastAsia="zh-CN"/>
        </w:rPr>
        <w:t>有权另聘第三方进行维保，由此产生的费用由</w:t>
      </w:r>
      <w:r>
        <w:rPr>
          <w:rFonts w:hint="eastAsia"/>
          <w:lang w:val="en-US" w:eastAsia="zh-CN"/>
        </w:rPr>
        <w:t>丙方</w:t>
      </w:r>
      <w:r>
        <w:rPr>
          <w:rFonts w:hint="default"/>
          <w:lang w:val="en-US" w:eastAsia="zh-CN"/>
        </w:rPr>
        <w:t>承担），</w:t>
      </w:r>
      <w:r>
        <w:rPr>
          <w:rFonts w:hint="eastAsia"/>
          <w:lang w:val="en-US" w:eastAsia="zh-CN"/>
        </w:rPr>
        <w:t>甲方、乙方</w:t>
      </w:r>
      <w:r>
        <w:rPr>
          <w:rFonts w:hint="default"/>
          <w:lang w:val="en-US" w:eastAsia="zh-CN"/>
        </w:rPr>
        <w:t>若对</w:t>
      </w:r>
      <w:r>
        <w:rPr>
          <w:rFonts w:hint="eastAsia"/>
          <w:lang w:val="en-US" w:eastAsia="zh-CN"/>
        </w:rPr>
        <w:t>丙方</w:t>
      </w:r>
      <w:r>
        <w:rPr>
          <w:rFonts w:hint="default"/>
          <w:lang w:val="en-US" w:eastAsia="zh-CN"/>
        </w:rPr>
        <w:t>的维修保养项目有异议的，可委托其他单位进行鉴定。</w:t>
      </w:r>
    </w:p>
    <w:p>
      <w:pPr>
        <w:pStyle w:val="2"/>
        <w:rPr>
          <w:rFonts w:hint="default"/>
          <w:lang w:val="en-US" w:eastAsia="zh-CN"/>
        </w:rPr>
      </w:pPr>
      <w:r>
        <w:rPr>
          <w:rFonts w:hint="default"/>
          <w:lang w:val="en-US" w:eastAsia="zh-CN"/>
        </w:rPr>
        <w:t>14、应认真审核</w:t>
      </w:r>
      <w:r>
        <w:rPr>
          <w:rFonts w:hint="eastAsia"/>
          <w:lang w:val="en-US" w:eastAsia="zh-CN"/>
        </w:rPr>
        <w:t>丙方</w:t>
      </w:r>
      <w:r>
        <w:rPr>
          <w:rFonts w:hint="default"/>
          <w:lang w:val="en-US" w:eastAsia="zh-CN"/>
        </w:rPr>
        <w:t>书面提出的更换电梯零部件要求，并在</w:t>
      </w:r>
      <w:r>
        <w:rPr>
          <w:rFonts w:hint="eastAsia"/>
          <w:lang w:val="en-US" w:eastAsia="zh-CN"/>
        </w:rPr>
        <w:t>丙方</w:t>
      </w:r>
      <w:r>
        <w:rPr>
          <w:rFonts w:hint="default"/>
          <w:lang w:val="en-US" w:eastAsia="zh-CN"/>
        </w:rPr>
        <w:t>书面要求的期限内书面予以答复。 </w:t>
      </w:r>
    </w:p>
    <w:p>
      <w:pPr>
        <w:pStyle w:val="2"/>
        <w:rPr>
          <w:rFonts w:hint="default"/>
          <w:lang w:val="en-US" w:eastAsia="zh-CN"/>
        </w:rPr>
      </w:pPr>
      <w:r>
        <w:rPr>
          <w:rFonts w:hint="default"/>
          <w:lang w:val="en-US" w:eastAsia="zh-CN"/>
        </w:rPr>
        <w:t xml:space="preserve">15、在电梯使用标志所标注的下次检验日期届满前１个月，向特种设备检验机构提出定期检验申请。  </w:t>
      </w:r>
    </w:p>
    <w:p>
      <w:pPr>
        <w:pStyle w:val="2"/>
        <w:rPr>
          <w:rFonts w:hint="default"/>
          <w:lang w:val="en-US" w:eastAsia="zh-CN"/>
        </w:rPr>
      </w:pPr>
      <w:r>
        <w:rPr>
          <w:rFonts w:hint="default"/>
          <w:lang w:val="en-US" w:eastAsia="zh-CN"/>
        </w:rPr>
        <w:t>16、应当对每台电梯建立完整的安全技术档案，并供</w:t>
      </w:r>
      <w:r>
        <w:rPr>
          <w:rFonts w:hint="eastAsia"/>
          <w:lang w:val="en-US" w:eastAsia="zh-CN"/>
        </w:rPr>
        <w:t>丙方</w:t>
      </w:r>
      <w:r>
        <w:rPr>
          <w:rFonts w:hint="default"/>
          <w:lang w:val="en-US" w:eastAsia="zh-CN"/>
        </w:rPr>
        <w:t>查询。签订合同前应当向</w:t>
      </w:r>
      <w:r>
        <w:rPr>
          <w:rFonts w:hint="eastAsia"/>
          <w:lang w:val="en-US" w:eastAsia="zh-CN"/>
        </w:rPr>
        <w:t>丙方</w:t>
      </w:r>
      <w:r>
        <w:rPr>
          <w:rFonts w:hint="default"/>
          <w:lang w:val="en-US" w:eastAsia="zh-CN"/>
        </w:rPr>
        <w:t>提供如下资料或复印件：</w:t>
      </w:r>
    </w:p>
    <w:p>
      <w:pPr>
        <w:pStyle w:val="2"/>
        <w:rPr>
          <w:rFonts w:hint="default"/>
          <w:lang w:val="en-US" w:eastAsia="zh-CN"/>
        </w:rPr>
      </w:pPr>
      <w:r>
        <w:rPr>
          <w:rFonts w:hint="default"/>
          <w:lang w:val="en-US" w:eastAsia="zh-CN"/>
        </w:rPr>
        <w:t>（1） 产品合格证；</w:t>
      </w:r>
    </w:p>
    <w:p>
      <w:pPr>
        <w:pStyle w:val="2"/>
        <w:rPr>
          <w:rFonts w:hint="default"/>
          <w:lang w:val="en-US" w:eastAsia="zh-CN"/>
        </w:rPr>
      </w:pPr>
      <w:r>
        <w:rPr>
          <w:rFonts w:hint="default"/>
          <w:lang w:val="en-US" w:eastAsia="zh-CN"/>
        </w:rPr>
        <w:t>（2） 使用维护说明书；</w:t>
      </w:r>
    </w:p>
    <w:p>
      <w:pPr>
        <w:pStyle w:val="2"/>
        <w:rPr>
          <w:rFonts w:hint="default"/>
          <w:lang w:val="en-US" w:eastAsia="zh-CN"/>
        </w:rPr>
      </w:pPr>
      <w:r>
        <w:rPr>
          <w:rFonts w:hint="default"/>
          <w:lang w:val="en-US" w:eastAsia="zh-CN"/>
        </w:rPr>
        <w:t>（3） 电气原理图；</w:t>
      </w:r>
    </w:p>
    <w:p>
      <w:pPr>
        <w:pStyle w:val="2"/>
        <w:rPr>
          <w:rFonts w:hint="default"/>
          <w:lang w:val="en-US" w:eastAsia="zh-CN"/>
        </w:rPr>
      </w:pPr>
      <w:r>
        <w:rPr>
          <w:rFonts w:hint="default"/>
          <w:lang w:val="en-US" w:eastAsia="zh-CN"/>
        </w:rPr>
        <w:t>（4） 电气敷设图；</w:t>
      </w:r>
    </w:p>
    <w:p>
      <w:pPr>
        <w:pStyle w:val="2"/>
        <w:rPr>
          <w:rFonts w:hint="default"/>
          <w:lang w:val="en-US" w:eastAsia="zh-CN"/>
        </w:rPr>
      </w:pPr>
      <w:r>
        <w:rPr>
          <w:rFonts w:hint="default"/>
          <w:lang w:val="en-US" w:eastAsia="zh-CN"/>
        </w:rPr>
        <w:t>（5） 安装说明书；</w:t>
      </w:r>
    </w:p>
    <w:p>
      <w:pPr>
        <w:pStyle w:val="2"/>
        <w:rPr>
          <w:rFonts w:hint="default"/>
          <w:lang w:val="en-US" w:eastAsia="zh-CN"/>
        </w:rPr>
      </w:pPr>
      <w:r>
        <w:rPr>
          <w:rFonts w:hint="default"/>
          <w:lang w:val="en-US" w:eastAsia="zh-CN"/>
        </w:rPr>
        <w:t>（6） 电梯整机、安全部件和主要部件型式试验报告结论副本或结论；</w:t>
      </w:r>
    </w:p>
    <w:p>
      <w:pPr>
        <w:pStyle w:val="2"/>
        <w:rPr>
          <w:rFonts w:hint="default"/>
          <w:lang w:val="en-US" w:eastAsia="zh-CN"/>
        </w:rPr>
      </w:pPr>
      <w:r>
        <w:rPr>
          <w:rFonts w:hint="default"/>
          <w:lang w:val="en-US" w:eastAsia="zh-CN"/>
        </w:rPr>
        <w:t>（7） 电梯运行全部记录；</w:t>
      </w:r>
    </w:p>
    <w:p>
      <w:pPr>
        <w:pStyle w:val="2"/>
        <w:rPr>
          <w:rFonts w:hint="default"/>
          <w:lang w:val="en-US" w:eastAsia="zh-CN"/>
        </w:rPr>
      </w:pPr>
      <w:r>
        <w:rPr>
          <w:rFonts w:hint="default"/>
          <w:lang w:val="en-US" w:eastAsia="zh-CN"/>
        </w:rPr>
        <w:t>（8） 故障及事故记录；</w:t>
      </w:r>
    </w:p>
    <w:p>
      <w:pPr>
        <w:pStyle w:val="2"/>
        <w:rPr>
          <w:rFonts w:hint="default"/>
          <w:lang w:val="en-US" w:eastAsia="zh-CN"/>
        </w:rPr>
      </w:pPr>
      <w:r>
        <w:rPr>
          <w:rFonts w:hint="default"/>
          <w:lang w:val="en-US" w:eastAsia="zh-CN"/>
        </w:rPr>
        <w:t>（9） 改造、重大维修原始记录；</w:t>
      </w:r>
    </w:p>
    <w:p>
      <w:pPr>
        <w:pStyle w:val="2"/>
        <w:rPr>
          <w:rFonts w:hint="default"/>
          <w:lang w:val="en-US" w:eastAsia="zh-CN"/>
        </w:rPr>
      </w:pPr>
      <w:r>
        <w:rPr>
          <w:rFonts w:hint="default"/>
          <w:lang w:val="en-US" w:eastAsia="zh-CN"/>
        </w:rPr>
        <w:t>（10）特种设备注册登记表；</w:t>
      </w:r>
    </w:p>
    <w:p>
      <w:pPr>
        <w:pStyle w:val="2"/>
        <w:rPr>
          <w:rFonts w:hint="default"/>
          <w:lang w:val="en-US" w:eastAsia="zh-CN"/>
        </w:rPr>
      </w:pPr>
      <w:r>
        <w:rPr>
          <w:rFonts w:hint="default"/>
          <w:lang w:val="en-US" w:eastAsia="zh-CN"/>
        </w:rPr>
        <w:t>（11）电梯施工自检记录；</w:t>
      </w:r>
    </w:p>
    <w:p>
      <w:pPr>
        <w:pStyle w:val="2"/>
        <w:rPr>
          <w:rFonts w:hint="default"/>
          <w:lang w:val="en-US" w:eastAsia="zh-CN"/>
        </w:rPr>
      </w:pPr>
      <w:r>
        <w:rPr>
          <w:rFonts w:hint="default"/>
          <w:lang w:val="en-US" w:eastAsia="zh-CN"/>
        </w:rPr>
        <w:t>（12）上年度的检验报告.</w:t>
      </w:r>
    </w:p>
    <w:p>
      <w:pPr>
        <w:pStyle w:val="2"/>
        <w:rPr>
          <w:rFonts w:hint="default"/>
          <w:lang w:val="en-US" w:eastAsia="zh-CN"/>
        </w:rPr>
      </w:pPr>
      <w:r>
        <w:rPr>
          <w:rFonts w:hint="default"/>
          <w:lang w:val="en-US" w:eastAsia="zh-CN"/>
        </w:rPr>
        <w:t>17、</w:t>
      </w:r>
      <w:r>
        <w:rPr>
          <w:rFonts w:hint="eastAsia"/>
          <w:lang w:val="en-US" w:eastAsia="zh-CN"/>
        </w:rPr>
        <w:t>丙方</w:t>
      </w:r>
      <w:r>
        <w:rPr>
          <w:rFonts w:hint="default"/>
          <w:lang w:val="en-US" w:eastAsia="zh-CN"/>
        </w:rPr>
        <w:t>需接受</w:t>
      </w:r>
      <w:r>
        <w:rPr>
          <w:rFonts w:hint="eastAsia"/>
          <w:lang w:val="en-US" w:eastAsia="zh-CN"/>
        </w:rPr>
        <w:t>甲方、乙方</w:t>
      </w:r>
      <w:r>
        <w:rPr>
          <w:rFonts w:hint="default"/>
          <w:lang w:val="en-US" w:eastAsia="zh-CN"/>
        </w:rPr>
        <w:t>对供应商的考评，如果考核不及格，</w:t>
      </w:r>
      <w:r>
        <w:rPr>
          <w:rFonts w:hint="eastAsia"/>
          <w:lang w:val="en-US" w:eastAsia="zh-CN"/>
        </w:rPr>
        <w:t>甲方、乙方</w:t>
      </w:r>
      <w:r>
        <w:rPr>
          <w:rFonts w:hint="default"/>
          <w:lang w:val="en-US" w:eastAsia="zh-CN"/>
        </w:rPr>
        <w:t>有权单方面解除合同。</w:t>
      </w:r>
    </w:p>
    <w:p>
      <w:pPr>
        <w:pStyle w:val="2"/>
        <w:rPr>
          <w:rFonts w:hint="default"/>
          <w:lang w:val="en-US" w:eastAsia="zh-CN"/>
        </w:rPr>
      </w:pPr>
      <w:r>
        <w:rPr>
          <w:rFonts w:hint="default"/>
          <w:lang w:val="en-US" w:eastAsia="zh-CN"/>
        </w:rPr>
        <w:t>第十一条  </w:t>
      </w:r>
      <w:r>
        <w:rPr>
          <w:rFonts w:hint="eastAsia"/>
          <w:lang w:val="en-US" w:eastAsia="zh-CN"/>
        </w:rPr>
        <w:t>丙方</w:t>
      </w:r>
      <w:r>
        <w:rPr>
          <w:rFonts w:hint="default"/>
          <w:lang w:val="en-US" w:eastAsia="zh-CN"/>
        </w:rPr>
        <w:t xml:space="preserve">权利、义务  </w:t>
      </w:r>
    </w:p>
    <w:p>
      <w:pPr>
        <w:pStyle w:val="2"/>
        <w:rPr>
          <w:rFonts w:hint="default"/>
          <w:lang w:val="en-US" w:eastAsia="zh-CN"/>
        </w:rPr>
      </w:pPr>
      <w:r>
        <w:rPr>
          <w:rFonts w:hint="default"/>
          <w:lang w:val="en-US" w:eastAsia="zh-CN"/>
        </w:rPr>
        <w:t>1、有权要求</w:t>
      </w:r>
      <w:r>
        <w:rPr>
          <w:rFonts w:hint="eastAsia"/>
          <w:lang w:val="en-US" w:eastAsia="zh-CN"/>
        </w:rPr>
        <w:t>甲方、乙方</w:t>
      </w:r>
      <w:r>
        <w:rPr>
          <w:rFonts w:hint="default"/>
          <w:lang w:val="en-US" w:eastAsia="zh-CN"/>
        </w:rPr>
        <w:t xml:space="preserve">提供维保所需的工作环境，查询电梯相关资料。  </w:t>
      </w:r>
    </w:p>
    <w:p>
      <w:pPr>
        <w:pStyle w:val="2"/>
        <w:rPr>
          <w:rFonts w:hint="default"/>
          <w:lang w:val="en-US" w:eastAsia="zh-CN"/>
        </w:rPr>
      </w:pPr>
      <w:r>
        <w:rPr>
          <w:rFonts w:hint="default"/>
          <w:lang w:val="en-US" w:eastAsia="zh-CN"/>
        </w:rPr>
        <w:t>2、当电梯存在事故隐患时，</w:t>
      </w:r>
      <w:r>
        <w:rPr>
          <w:rFonts w:hint="eastAsia"/>
          <w:lang w:val="en-US" w:eastAsia="zh-CN"/>
        </w:rPr>
        <w:t>丙方</w:t>
      </w:r>
      <w:r>
        <w:rPr>
          <w:rFonts w:hint="default"/>
          <w:lang w:val="en-US" w:eastAsia="zh-CN"/>
        </w:rPr>
        <w:t>有权采取停梯措施及阻止冒险作业的权利。  </w:t>
      </w:r>
    </w:p>
    <w:p>
      <w:pPr>
        <w:pStyle w:val="2"/>
        <w:rPr>
          <w:rFonts w:hint="default"/>
          <w:lang w:val="en-US" w:eastAsia="zh-CN"/>
        </w:rPr>
      </w:pPr>
      <w:r>
        <w:rPr>
          <w:rFonts w:hint="default"/>
          <w:lang w:val="en-US" w:eastAsia="zh-CN"/>
        </w:rPr>
        <w:t>3、有权拒绝</w:t>
      </w:r>
      <w:r>
        <w:rPr>
          <w:rFonts w:hint="eastAsia"/>
          <w:lang w:val="en-US" w:eastAsia="zh-CN"/>
        </w:rPr>
        <w:t>甲方、乙方</w:t>
      </w:r>
      <w:r>
        <w:rPr>
          <w:rFonts w:hint="default"/>
          <w:lang w:val="en-US" w:eastAsia="zh-CN"/>
        </w:rPr>
        <w:t xml:space="preserve">提出的影响电梯安全运行的要求。   </w:t>
      </w:r>
    </w:p>
    <w:p>
      <w:pPr>
        <w:pStyle w:val="2"/>
        <w:rPr>
          <w:rFonts w:hint="default"/>
          <w:lang w:val="en-US" w:eastAsia="zh-CN"/>
        </w:rPr>
      </w:pPr>
      <w:r>
        <w:rPr>
          <w:rFonts w:hint="default"/>
          <w:lang w:val="en-US" w:eastAsia="zh-CN"/>
        </w:rPr>
        <w:t>4、</w:t>
      </w:r>
      <w:r>
        <w:rPr>
          <w:rFonts w:hint="eastAsia"/>
          <w:lang w:val="en-US" w:eastAsia="zh-CN"/>
        </w:rPr>
        <w:t>丙方</w:t>
      </w:r>
      <w:r>
        <w:rPr>
          <w:rFonts w:hint="default"/>
          <w:lang w:val="en-US" w:eastAsia="zh-CN"/>
        </w:rPr>
        <w:t>实施维保后的电梯应符合安全技术规范、强制性标准和电梯制造单位的技术要求。</w:t>
      </w:r>
    </w:p>
    <w:p>
      <w:pPr>
        <w:pStyle w:val="2"/>
        <w:rPr>
          <w:rFonts w:hint="default"/>
          <w:lang w:val="en-US" w:eastAsia="zh-CN"/>
        </w:rPr>
      </w:pPr>
      <w:r>
        <w:rPr>
          <w:rFonts w:hint="default"/>
          <w:lang w:val="en-US" w:eastAsia="zh-CN"/>
        </w:rPr>
        <w:t>5、</w:t>
      </w:r>
      <w:r>
        <w:rPr>
          <w:rFonts w:hint="eastAsia"/>
          <w:lang w:val="en-US" w:eastAsia="zh-CN"/>
        </w:rPr>
        <w:t>丙方</w:t>
      </w:r>
      <w:r>
        <w:rPr>
          <w:rFonts w:hint="default"/>
          <w:lang w:val="en-US" w:eastAsia="zh-CN"/>
        </w:rPr>
        <w:t>提供24小时的紧急救援服务</w:t>
      </w:r>
      <w:r>
        <w:rPr>
          <w:rFonts w:hint="eastAsia"/>
          <w:lang w:val="en-US" w:eastAsia="zh-CN"/>
        </w:rPr>
        <w:t>，</w:t>
      </w:r>
      <w:r>
        <w:rPr>
          <w:rFonts w:hint="default"/>
          <w:lang w:val="en-US" w:eastAsia="zh-CN"/>
        </w:rPr>
        <w:t>当电梯发生困人故障，</w:t>
      </w:r>
      <w:r>
        <w:rPr>
          <w:rFonts w:hint="eastAsia"/>
          <w:lang w:val="en-US" w:eastAsia="zh-CN"/>
        </w:rPr>
        <w:t>丙方</w:t>
      </w:r>
      <w:r>
        <w:rPr>
          <w:rFonts w:hint="default"/>
          <w:lang w:val="en-US" w:eastAsia="zh-CN"/>
        </w:rPr>
        <w:t>应在接到</w:t>
      </w:r>
      <w:r>
        <w:rPr>
          <w:rFonts w:hint="eastAsia"/>
          <w:lang w:val="en-US" w:eastAsia="zh-CN"/>
        </w:rPr>
        <w:t>甲方、乙方</w:t>
      </w:r>
      <w:r>
        <w:rPr>
          <w:rFonts w:hint="default"/>
          <w:lang w:val="en-US" w:eastAsia="zh-CN"/>
        </w:rPr>
        <w:t>通知后 30 分钟内赶到现场实施抢修。</w:t>
      </w:r>
    </w:p>
    <w:p>
      <w:pPr>
        <w:pStyle w:val="2"/>
        <w:rPr>
          <w:rFonts w:hint="default"/>
          <w:lang w:val="en-US" w:eastAsia="zh-CN"/>
        </w:rPr>
      </w:pPr>
      <w:r>
        <w:rPr>
          <w:rFonts w:hint="default"/>
          <w:lang w:val="en-US" w:eastAsia="zh-CN"/>
        </w:rPr>
        <w:t>6、根据电梯的使用情况和设备状况，经双方协商确认后，提供全年保养计划和各项定期保养计划的具体实施时间表。每台每次保养时间不得少于合同约定的相应最少保养时间。如需调整原保养计划，应提前 3 日通知</w:t>
      </w:r>
      <w:r>
        <w:rPr>
          <w:rFonts w:hint="eastAsia"/>
          <w:lang w:val="en-US" w:eastAsia="zh-CN"/>
        </w:rPr>
        <w:t>甲方、乙方</w:t>
      </w:r>
      <w:r>
        <w:rPr>
          <w:rFonts w:hint="default"/>
          <w:lang w:val="en-US" w:eastAsia="zh-CN"/>
        </w:rPr>
        <w:t>并经</w:t>
      </w:r>
      <w:r>
        <w:rPr>
          <w:rFonts w:hint="eastAsia"/>
          <w:lang w:val="en-US" w:eastAsia="zh-CN"/>
        </w:rPr>
        <w:t>甲方、乙方</w:t>
      </w:r>
      <w:r>
        <w:rPr>
          <w:rFonts w:hint="default"/>
          <w:lang w:val="en-US" w:eastAsia="zh-CN"/>
        </w:rPr>
        <w:t xml:space="preserve">同意后方可调整，但应保证保养时间不得超过15日。   </w:t>
      </w:r>
    </w:p>
    <w:p>
      <w:pPr>
        <w:pStyle w:val="2"/>
        <w:rPr>
          <w:rFonts w:hint="default"/>
          <w:lang w:val="en-US" w:eastAsia="zh-CN"/>
        </w:rPr>
      </w:pPr>
      <w:r>
        <w:rPr>
          <w:rFonts w:hint="default"/>
          <w:lang w:val="en-US" w:eastAsia="zh-CN"/>
        </w:rPr>
        <w:t>7、</w:t>
      </w:r>
      <w:r>
        <w:rPr>
          <w:rFonts w:hint="eastAsia"/>
          <w:lang w:val="en-US" w:eastAsia="zh-CN"/>
        </w:rPr>
        <w:t>丙方</w:t>
      </w:r>
      <w:r>
        <w:rPr>
          <w:rFonts w:hint="default"/>
          <w:lang w:val="en-US" w:eastAsia="zh-CN"/>
        </w:rPr>
        <w:t>必须向</w:t>
      </w:r>
      <w:r>
        <w:rPr>
          <w:rFonts w:hint="eastAsia"/>
          <w:lang w:val="en-US" w:eastAsia="zh-CN"/>
        </w:rPr>
        <w:t>甲方、乙方</w:t>
      </w:r>
      <w:r>
        <w:rPr>
          <w:rFonts w:hint="default"/>
          <w:lang w:val="en-US" w:eastAsia="zh-CN"/>
        </w:rPr>
        <w:t>出示省级以上主管部门颁发的维修许可资质证书，现场作业人员应当取得相应的《特种设备作业人员证》或《电梯维修操作证》，且保证在合同期间内持续拥有该相关的资质。为有效实施保养计划，</w:t>
      </w:r>
      <w:r>
        <w:rPr>
          <w:rFonts w:hint="eastAsia"/>
          <w:lang w:val="en-US" w:eastAsia="zh-CN"/>
        </w:rPr>
        <w:t>丙方</w:t>
      </w:r>
      <w:r>
        <w:rPr>
          <w:rFonts w:hint="default"/>
          <w:lang w:val="en-US" w:eastAsia="zh-CN"/>
        </w:rPr>
        <w:t xml:space="preserve">应安排不少于 2 名熟悉所维保电梯原理、结构、性能、安全要求的特种设备作业人员负责维保工作，并其严格按照产品工艺要求、安全及技术规范进行维保。  </w:t>
      </w:r>
    </w:p>
    <w:p>
      <w:pPr>
        <w:pStyle w:val="2"/>
        <w:rPr>
          <w:rFonts w:hint="default"/>
          <w:lang w:val="en-US" w:eastAsia="zh-CN"/>
        </w:rPr>
      </w:pPr>
      <w:r>
        <w:rPr>
          <w:rFonts w:hint="default"/>
          <w:lang w:val="en-US" w:eastAsia="zh-CN"/>
        </w:rPr>
        <w:t>8、作业过程中应服从</w:t>
      </w:r>
      <w:r>
        <w:rPr>
          <w:rFonts w:hint="eastAsia"/>
          <w:lang w:val="en-US" w:eastAsia="zh-CN"/>
        </w:rPr>
        <w:t>甲方、乙方</w:t>
      </w:r>
      <w:r>
        <w:rPr>
          <w:rFonts w:hint="default"/>
          <w:lang w:val="en-US" w:eastAsia="zh-CN"/>
        </w:rPr>
        <w:t>现场安全管理，落实现场安全防护措施，保证作业安全。需要安全监护作业的内容应书面告知</w:t>
      </w:r>
      <w:r>
        <w:rPr>
          <w:rFonts w:hint="eastAsia"/>
          <w:lang w:val="en-US" w:eastAsia="zh-CN"/>
        </w:rPr>
        <w:t>甲方、乙方</w:t>
      </w:r>
      <w:r>
        <w:rPr>
          <w:rFonts w:hint="default"/>
          <w:lang w:val="en-US" w:eastAsia="zh-CN"/>
        </w:rPr>
        <w:t>。</w:t>
      </w:r>
    </w:p>
    <w:p>
      <w:pPr>
        <w:pStyle w:val="2"/>
        <w:rPr>
          <w:rFonts w:hint="default"/>
          <w:lang w:val="en-US" w:eastAsia="zh-CN"/>
        </w:rPr>
      </w:pPr>
      <w:r>
        <w:rPr>
          <w:rFonts w:hint="default"/>
          <w:lang w:val="en-US" w:eastAsia="zh-CN"/>
        </w:rPr>
        <w:t>9、现场需采取停梯措施时，应立即通知</w:t>
      </w:r>
      <w:r>
        <w:rPr>
          <w:rFonts w:hint="eastAsia"/>
          <w:lang w:val="en-US" w:eastAsia="zh-CN"/>
        </w:rPr>
        <w:t>甲方、乙方</w:t>
      </w:r>
      <w:r>
        <w:rPr>
          <w:rFonts w:hint="default"/>
          <w:lang w:val="en-US" w:eastAsia="zh-CN"/>
        </w:rPr>
        <w:t xml:space="preserve">并及时组织抢修。  </w:t>
      </w:r>
    </w:p>
    <w:p>
      <w:pPr>
        <w:pStyle w:val="2"/>
        <w:rPr>
          <w:rFonts w:hint="default"/>
          <w:lang w:val="en-US" w:eastAsia="zh-CN"/>
        </w:rPr>
      </w:pPr>
      <w:r>
        <w:rPr>
          <w:rFonts w:hint="default"/>
          <w:lang w:val="en-US" w:eastAsia="zh-CN"/>
        </w:rPr>
        <w:t>10、根据</w:t>
      </w:r>
      <w:r>
        <w:rPr>
          <w:rFonts w:hint="eastAsia"/>
          <w:lang w:val="en-US" w:eastAsia="zh-CN"/>
        </w:rPr>
        <w:t>甲方、乙方</w:t>
      </w:r>
      <w:r>
        <w:rPr>
          <w:rFonts w:hint="default"/>
          <w:lang w:val="en-US" w:eastAsia="zh-CN"/>
        </w:rPr>
        <w:t>的故障统计记录，</w:t>
      </w:r>
      <w:r>
        <w:rPr>
          <w:rFonts w:hint="eastAsia"/>
          <w:lang w:val="en-US" w:eastAsia="zh-CN"/>
        </w:rPr>
        <w:t>丙方</w:t>
      </w:r>
      <w:r>
        <w:rPr>
          <w:rFonts w:hint="default"/>
          <w:lang w:val="en-US" w:eastAsia="zh-CN"/>
        </w:rPr>
        <w:t xml:space="preserve">应至少每季度一次提出电梯故障报告。报告中应包含电梯故障的统计分析、整改措施和预防措施，以及有关电梯使用管理的合理化建议。  </w:t>
      </w:r>
    </w:p>
    <w:p>
      <w:pPr>
        <w:pStyle w:val="2"/>
        <w:rPr>
          <w:rFonts w:hint="default"/>
          <w:lang w:val="en-US" w:eastAsia="zh-CN"/>
        </w:rPr>
      </w:pPr>
      <w:r>
        <w:rPr>
          <w:rFonts w:hint="default"/>
          <w:lang w:val="en-US" w:eastAsia="zh-CN"/>
        </w:rPr>
        <w:t>11、协助</w:t>
      </w:r>
      <w:r>
        <w:rPr>
          <w:rFonts w:hint="eastAsia"/>
          <w:lang w:val="en-US" w:eastAsia="zh-CN"/>
        </w:rPr>
        <w:t>甲方、乙方</w:t>
      </w:r>
      <w:r>
        <w:rPr>
          <w:rFonts w:hint="default"/>
          <w:lang w:val="en-US" w:eastAsia="zh-CN"/>
        </w:rPr>
        <w:t>建立健全安全管理制度、安全技术档案、应急救援预案，配合</w:t>
      </w:r>
      <w:r>
        <w:rPr>
          <w:rFonts w:hint="eastAsia"/>
          <w:lang w:val="en-US" w:eastAsia="zh-CN"/>
        </w:rPr>
        <w:t>甲方、乙方</w:t>
      </w:r>
      <w:r>
        <w:rPr>
          <w:rFonts w:hint="default"/>
          <w:lang w:val="en-US" w:eastAsia="zh-CN"/>
        </w:rPr>
        <w:t xml:space="preserve">开展应急救援演练。  </w:t>
      </w:r>
    </w:p>
    <w:p>
      <w:pPr>
        <w:pStyle w:val="2"/>
        <w:rPr>
          <w:rFonts w:hint="default"/>
          <w:lang w:val="en-US" w:eastAsia="zh-CN"/>
        </w:rPr>
      </w:pPr>
      <w:r>
        <w:rPr>
          <w:rFonts w:hint="default"/>
          <w:lang w:val="en-US" w:eastAsia="zh-CN"/>
        </w:rPr>
        <w:t>12、不得以任何形式将维保工作非法分包、转包。</w:t>
      </w:r>
    </w:p>
    <w:p>
      <w:pPr>
        <w:pStyle w:val="2"/>
        <w:rPr>
          <w:rFonts w:hint="default"/>
          <w:lang w:val="en-US" w:eastAsia="zh-CN"/>
        </w:rPr>
      </w:pPr>
      <w:r>
        <w:rPr>
          <w:rFonts w:hint="default"/>
          <w:lang w:val="en-US" w:eastAsia="zh-CN"/>
        </w:rPr>
        <w:t>13、在合同期内，电梯的年检及国家、政府规定的其他检验，由</w:t>
      </w:r>
      <w:r>
        <w:rPr>
          <w:rFonts w:hint="eastAsia"/>
          <w:lang w:val="en-US" w:eastAsia="zh-CN"/>
        </w:rPr>
        <w:t>丙方</w:t>
      </w:r>
      <w:r>
        <w:rPr>
          <w:rFonts w:hint="default"/>
          <w:lang w:val="en-US" w:eastAsia="zh-CN"/>
        </w:rPr>
        <w:t>负责完成，并保证上述电梯相关资质期满前取得《电梯使用合格证》及其他相应的检验合格资料。合同签订后三天内，</w:t>
      </w:r>
      <w:r>
        <w:rPr>
          <w:rFonts w:hint="eastAsia"/>
          <w:lang w:val="en-US" w:eastAsia="zh-CN"/>
        </w:rPr>
        <w:t>丙方</w:t>
      </w:r>
      <w:r>
        <w:rPr>
          <w:rFonts w:hint="default"/>
          <w:lang w:val="en-US" w:eastAsia="zh-CN"/>
        </w:rPr>
        <w:t>必须对上述电梯进行全面检测，确保上述电梯能顺利通过安全年检；在合同期内，电梯的年检及国家、政府规定的其他检验，</w:t>
      </w:r>
      <w:r>
        <w:rPr>
          <w:rFonts w:hint="eastAsia"/>
          <w:lang w:val="en-US" w:eastAsia="zh-CN"/>
        </w:rPr>
        <w:t>甲方、乙方</w:t>
      </w:r>
      <w:r>
        <w:rPr>
          <w:rFonts w:hint="default"/>
          <w:lang w:val="en-US" w:eastAsia="zh-CN"/>
        </w:rPr>
        <w:t>应予以协助，提供有关应由</w:t>
      </w:r>
      <w:r>
        <w:rPr>
          <w:rFonts w:hint="eastAsia"/>
          <w:lang w:val="en-US" w:eastAsia="zh-CN"/>
        </w:rPr>
        <w:t>甲方、乙方</w:t>
      </w:r>
      <w:r>
        <w:rPr>
          <w:rFonts w:hint="default"/>
          <w:lang w:val="en-US" w:eastAsia="zh-CN"/>
        </w:rPr>
        <w:t>出具的资料，</w:t>
      </w:r>
      <w:r>
        <w:rPr>
          <w:rFonts w:hint="eastAsia"/>
          <w:lang w:val="en-US" w:eastAsia="zh-CN"/>
        </w:rPr>
        <w:t>丙方</w:t>
      </w:r>
      <w:r>
        <w:rPr>
          <w:rFonts w:hint="default"/>
          <w:lang w:val="en-US" w:eastAsia="zh-CN"/>
        </w:rPr>
        <w:t>在检验工作完毕后，应及时将取得的《安全检验合格证》等移交至</w:t>
      </w:r>
      <w:r>
        <w:rPr>
          <w:rFonts w:hint="eastAsia"/>
          <w:lang w:val="en-US" w:eastAsia="zh-CN"/>
        </w:rPr>
        <w:t>甲方、乙方</w:t>
      </w:r>
      <w:r>
        <w:rPr>
          <w:rFonts w:hint="default"/>
          <w:lang w:val="en-US" w:eastAsia="zh-CN"/>
        </w:rPr>
        <w:t>，电梯年检按政府部门开出的发票上写明的数额收费，由</w:t>
      </w:r>
      <w:r>
        <w:rPr>
          <w:rFonts w:hint="eastAsia"/>
          <w:lang w:val="en-US" w:eastAsia="zh-CN"/>
        </w:rPr>
        <w:t>甲方、乙方</w:t>
      </w:r>
      <w:r>
        <w:rPr>
          <w:rFonts w:hint="default"/>
          <w:lang w:val="en-US" w:eastAsia="zh-CN"/>
        </w:rPr>
        <w:t>支付与发票金额相同的费用，且不再支付其他任何费用；因</w:t>
      </w:r>
      <w:r>
        <w:rPr>
          <w:rFonts w:hint="eastAsia"/>
          <w:lang w:val="en-US" w:eastAsia="zh-CN"/>
        </w:rPr>
        <w:t>丙方</w:t>
      </w:r>
      <w:r>
        <w:rPr>
          <w:rFonts w:hint="default"/>
          <w:lang w:val="en-US" w:eastAsia="zh-CN"/>
        </w:rPr>
        <w:t>原因导致年检不通过的，由此造成的一切责任及损失由</w:t>
      </w:r>
      <w:r>
        <w:rPr>
          <w:rFonts w:hint="eastAsia"/>
          <w:lang w:val="en-US" w:eastAsia="zh-CN"/>
        </w:rPr>
        <w:t>丙方</w:t>
      </w:r>
      <w:r>
        <w:rPr>
          <w:rFonts w:hint="default"/>
          <w:lang w:val="en-US" w:eastAsia="zh-CN"/>
        </w:rPr>
        <w:t>承担。在</w:t>
      </w:r>
      <w:r>
        <w:rPr>
          <w:rFonts w:hint="eastAsia"/>
          <w:lang w:val="en-US" w:eastAsia="zh-CN"/>
        </w:rPr>
        <w:t>丙方</w:t>
      </w:r>
      <w:r>
        <w:rPr>
          <w:rFonts w:hint="default"/>
          <w:lang w:val="en-US" w:eastAsia="zh-CN"/>
        </w:rPr>
        <w:t>人员对需检验的电梯自检时，发现检验项目有问题需要</w:t>
      </w:r>
      <w:r>
        <w:rPr>
          <w:rFonts w:hint="eastAsia"/>
          <w:lang w:val="en-US" w:eastAsia="zh-CN"/>
        </w:rPr>
        <w:t>甲方、乙方</w:t>
      </w:r>
      <w:r>
        <w:rPr>
          <w:rFonts w:hint="default"/>
          <w:lang w:val="en-US" w:eastAsia="zh-CN"/>
        </w:rPr>
        <w:t>配合处理时，需及时通知</w:t>
      </w:r>
      <w:r>
        <w:rPr>
          <w:rFonts w:hint="eastAsia"/>
          <w:lang w:val="en-US" w:eastAsia="zh-CN"/>
        </w:rPr>
        <w:t>甲方、乙方</w:t>
      </w:r>
      <w:r>
        <w:rPr>
          <w:rFonts w:hint="default"/>
          <w:lang w:val="en-US" w:eastAsia="zh-CN"/>
        </w:rPr>
        <w:t>并要求</w:t>
      </w:r>
      <w:r>
        <w:rPr>
          <w:rFonts w:hint="eastAsia"/>
          <w:lang w:val="en-US" w:eastAsia="zh-CN"/>
        </w:rPr>
        <w:t>甲方、乙方</w:t>
      </w:r>
      <w:r>
        <w:rPr>
          <w:rFonts w:hint="default"/>
          <w:lang w:val="en-US" w:eastAsia="zh-CN"/>
        </w:rPr>
        <w:t>及时配合处理，由于</w:t>
      </w:r>
      <w:r>
        <w:rPr>
          <w:rFonts w:hint="eastAsia"/>
          <w:lang w:val="en-US" w:eastAsia="zh-CN"/>
        </w:rPr>
        <w:t>甲方、乙方</w:t>
      </w:r>
      <w:r>
        <w:rPr>
          <w:rFonts w:hint="default"/>
          <w:lang w:val="en-US" w:eastAsia="zh-CN"/>
        </w:rPr>
        <w:t>没有及时配合处理而造成的一切责任及损失由</w:t>
      </w:r>
      <w:r>
        <w:rPr>
          <w:rFonts w:hint="eastAsia"/>
          <w:lang w:val="en-US" w:eastAsia="zh-CN"/>
        </w:rPr>
        <w:t>甲方、乙方</w:t>
      </w:r>
      <w:r>
        <w:rPr>
          <w:rFonts w:hint="default"/>
          <w:lang w:val="en-US" w:eastAsia="zh-CN"/>
        </w:rPr>
        <w:t>承担；在续签的条件下，每三至五年进行一次负荷调校实验，并提交实验报告，费用由双方另行协商。</w:t>
      </w:r>
    </w:p>
    <w:p>
      <w:pPr>
        <w:pStyle w:val="2"/>
        <w:rPr>
          <w:rFonts w:hint="default"/>
          <w:lang w:val="en-US" w:eastAsia="zh-CN"/>
        </w:rPr>
      </w:pPr>
      <w:r>
        <w:rPr>
          <w:rFonts w:hint="default"/>
          <w:lang w:val="en-US" w:eastAsia="zh-CN"/>
        </w:rPr>
        <w:t xml:space="preserve">    14、</w:t>
      </w:r>
      <w:r>
        <w:rPr>
          <w:rFonts w:hint="eastAsia"/>
          <w:lang w:val="en-US" w:eastAsia="zh-CN"/>
        </w:rPr>
        <w:t>丙方</w:t>
      </w:r>
      <w:r>
        <w:rPr>
          <w:rFonts w:hint="default"/>
          <w:lang w:val="en-US" w:eastAsia="zh-CN"/>
        </w:rPr>
        <w:t>必须对其员工进行安全教育，对其员工的安全负全部责任；</w:t>
      </w:r>
      <w:r>
        <w:rPr>
          <w:rFonts w:hint="eastAsia"/>
          <w:lang w:val="en-US" w:eastAsia="zh-CN"/>
        </w:rPr>
        <w:t>丙方</w:t>
      </w:r>
      <w:r>
        <w:rPr>
          <w:rFonts w:hint="default"/>
          <w:lang w:val="en-US" w:eastAsia="zh-CN"/>
        </w:rPr>
        <w:t>为员工购买保险，在工作时出现</w:t>
      </w:r>
      <w:r>
        <w:rPr>
          <w:rFonts w:hint="eastAsia"/>
          <w:lang w:val="en-US" w:eastAsia="zh-CN"/>
        </w:rPr>
        <w:t>丙方</w:t>
      </w:r>
      <w:r>
        <w:rPr>
          <w:rFonts w:hint="default"/>
          <w:lang w:val="en-US" w:eastAsia="zh-CN"/>
        </w:rPr>
        <w:t>人员的安全事故由</w:t>
      </w:r>
      <w:r>
        <w:rPr>
          <w:rFonts w:hint="eastAsia"/>
          <w:lang w:val="en-US" w:eastAsia="zh-CN"/>
        </w:rPr>
        <w:t>丙方</w:t>
      </w:r>
      <w:r>
        <w:rPr>
          <w:rFonts w:hint="default"/>
          <w:lang w:val="en-US" w:eastAsia="zh-CN"/>
        </w:rPr>
        <w:t>承担。</w:t>
      </w:r>
    </w:p>
    <w:p>
      <w:pPr>
        <w:pStyle w:val="2"/>
        <w:rPr>
          <w:rFonts w:hint="default"/>
          <w:lang w:val="en-US" w:eastAsia="zh-CN"/>
        </w:rPr>
      </w:pPr>
      <w:r>
        <w:rPr>
          <w:rFonts w:hint="default"/>
          <w:lang w:val="en-US" w:eastAsia="zh-CN"/>
        </w:rPr>
        <w:t>15、</w:t>
      </w:r>
      <w:r>
        <w:rPr>
          <w:rFonts w:hint="eastAsia"/>
          <w:lang w:val="en-US" w:eastAsia="zh-CN"/>
        </w:rPr>
        <w:t>丙方</w:t>
      </w:r>
      <w:r>
        <w:rPr>
          <w:rFonts w:hint="default"/>
          <w:lang w:val="en-US" w:eastAsia="zh-CN"/>
        </w:rPr>
        <w:t>接受</w:t>
      </w:r>
      <w:r>
        <w:rPr>
          <w:rFonts w:hint="eastAsia"/>
          <w:lang w:val="en-US" w:eastAsia="zh-CN"/>
        </w:rPr>
        <w:t>甲方、乙方</w:t>
      </w:r>
      <w:r>
        <w:rPr>
          <w:rFonts w:hint="default"/>
          <w:lang w:val="en-US" w:eastAsia="zh-CN"/>
        </w:rPr>
        <w:t>的监督和考评，并服从考评结果的处理措施。</w:t>
      </w:r>
    </w:p>
    <w:p>
      <w:pPr>
        <w:pStyle w:val="2"/>
        <w:rPr>
          <w:rFonts w:hint="default"/>
          <w:lang w:val="en-US" w:eastAsia="zh-CN"/>
        </w:rPr>
      </w:pPr>
      <w:r>
        <w:rPr>
          <w:rFonts w:hint="default"/>
          <w:lang w:val="en-US" w:eastAsia="zh-CN"/>
        </w:rPr>
        <w:t>16、</w:t>
      </w:r>
      <w:r>
        <w:rPr>
          <w:rFonts w:hint="eastAsia"/>
          <w:lang w:val="en-US" w:eastAsia="zh-CN"/>
        </w:rPr>
        <w:t>丙方</w:t>
      </w:r>
      <w:r>
        <w:rPr>
          <w:rFonts w:hint="default"/>
          <w:lang w:val="en-US" w:eastAsia="zh-CN"/>
        </w:rPr>
        <w:t>应向</w:t>
      </w:r>
      <w:r>
        <w:rPr>
          <w:rFonts w:hint="eastAsia"/>
          <w:lang w:val="en-US" w:eastAsia="zh-CN"/>
        </w:rPr>
        <w:t>甲方、乙方</w:t>
      </w:r>
      <w:r>
        <w:rPr>
          <w:rFonts w:hint="default"/>
          <w:lang w:val="en-US" w:eastAsia="zh-CN"/>
        </w:rPr>
        <w:t>提供维修保养人员特种设备维修电梯的相关资质，严格遵守</w:t>
      </w:r>
      <w:r>
        <w:rPr>
          <w:rFonts w:hint="eastAsia"/>
          <w:lang w:val="en-US" w:eastAsia="zh-CN"/>
        </w:rPr>
        <w:t>甲方、乙方</w:t>
      </w:r>
      <w:r>
        <w:rPr>
          <w:rFonts w:hint="default"/>
          <w:lang w:val="en-US" w:eastAsia="zh-CN"/>
        </w:rPr>
        <w:t>的规章制度，按照操作规程进行施工，负责施工现场的劳保安全，因</w:t>
      </w:r>
      <w:r>
        <w:rPr>
          <w:rFonts w:hint="eastAsia"/>
          <w:lang w:val="en-US" w:eastAsia="zh-CN"/>
        </w:rPr>
        <w:t>丙方</w:t>
      </w:r>
      <w:r>
        <w:rPr>
          <w:rFonts w:hint="default"/>
          <w:lang w:val="en-US" w:eastAsia="zh-CN"/>
        </w:rPr>
        <w:t>员工违规操作造成的自身或第三方的人身、财产损害的失，由</w:t>
      </w:r>
      <w:r>
        <w:rPr>
          <w:rFonts w:hint="eastAsia"/>
          <w:lang w:val="en-US" w:eastAsia="zh-CN"/>
        </w:rPr>
        <w:t>丙方</w:t>
      </w:r>
      <w:r>
        <w:rPr>
          <w:rFonts w:hint="default"/>
          <w:lang w:val="en-US" w:eastAsia="zh-CN"/>
        </w:rPr>
        <w:t>负全部责任，包括赔偿责任。造成</w:t>
      </w:r>
      <w:r>
        <w:rPr>
          <w:rFonts w:hint="eastAsia"/>
          <w:lang w:val="en-US" w:eastAsia="zh-CN"/>
        </w:rPr>
        <w:t>甲方、乙方</w:t>
      </w:r>
      <w:r>
        <w:rPr>
          <w:rFonts w:hint="default"/>
          <w:lang w:val="en-US" w:eastAsia="zh-CN"/>
        </w:rPr>
        <w:t>损失的，</w:t>
      </w:r>
      <w:r>
        <w:rPr>
          <w:rFonts w:hint="eastAsia"/>
          <w:lang w:val="en-US" w:eastAsia="zh-CN"/>
        </w:rPr>
        <w:t>丙方</w:t>
      </w:r>
      <w:r>
        <w:rPr>
          <w:rFonts w:hint="default"/>
          <w:lang w:val="en-US" w:eastAsia="zh-CN"/>
        </w:rPr>
        <w:t>应予赔偿。</w:t>
      </w:r>
    </w:p>
    <w:p>
      <w:pPr>
        <w:pStyle w:val="2"/>
        <w:rPr>
          <w:rFonts w:hint="default"/>
          <w:lang w:val="en-US" w:eastAsia="zh-CN"/>
        </w:rPr>
      </w:pPr>
      <w:r>
        <w:rPr>
          <w:rFonts w:hint="default"/>
          <w:lang w:val="en-US" w:eastAsia="zh-CN"/>
        </w:rPr>
        <w:t>17、</w:t>
      </w:r>
      <w:r>
        <w:rPr>
          <w:rFonts w:hint="eastAsia"/>
          <w:lang w:val="en-US" w:eastAsia="zh-CN"/>
        </w:rPr>
        <w:t>丙方</w:t>
      </w:r>
      <w:r>
        <w:rPr>
          <w:rFonts w:hint="default"/>
          <w:lang w:val="en-US" w:eastAsia="zh-CN"/>
        </w:rPr>
        <w:t>负责对</w:t>
      </w:r>
      <w:r>
        <w:rPr>
          <w:rFonts w:hint="eastAsia"/>
          <w:lang w:val="en-US" w:eastAsia="zh-CN"/>
        </w:rPr>
        <w:t>甲方、乙方</w:t>
      </w:r>
      <w:r>
        <w:rPr>
          <w:rFonts w:hint="default"/>
          <w:lang w:val="en-US" w:eastAsia="zh-CN"/>
        </w:rPr>
        <w:t>电梯安全管理人员进行培训并使其取得相关电梯安全管理员资格证件。</w:t>
      </w:r>
    </w:p>
    <w:p>
      <w:pPr>
        <w:pStyle w:val="2"/>
        <w:rPr>
          <w:rFonts w:hint="default"/>
          <w:lang w:val="en-US" w:eastAsia="zh-CN"/>
        </w:rPr>
      </w:pPr>
      <w:r>
        <w:rPr>
          <w:rFonts w:hint="default"/>
          <w:lang w:val="en-US" w:eastAsia="zh-CN"/>
        </w:rPr>
        <w:t>第十二条 违约责任</w:t>
      </w:r>
    </w:p>
    <w:p>
      <w:pPr>
        <w:pStyle w:val="2"/>
        <w:rPr>
          <w:rFonts w:hint="default"/>
          <w:lang w:val="en-US" w:eastAsia="zh-CN"/>
        </w:rPr>
      </w:pPr>
      <w:r>
        <w:rPr>
          <w:rFonts w:hint="default"/>
          <w:lang w:val="en-US" w:eastAsia="zh-CN"/>
        </w:rPr>
        <w:t>1、本合同签订后，任意一方无正当理由单方提出解除终止合同的，提出解除终止的一方应按照合同年维保费用的30%向守约方支付违约金。</w:t>
      </w:r>
    </w:p>
    <w:p>
      <w:pPr>
        <w:pStyle w:val="2"/>
        <w:rPr>
          <w:rFonts w:hint="default"/>
          <w:lang w:val="en-US" w:eastAsia="zh-CN"/>
        </w:rPr>
      </w:pPr>
      <w:r>
        <w:rPr>
          <w:rFonts w:hint="default"/>
          <w:lang w:val="en-US" w:eastAsia="zh-CN"/>
        </w:rPr>
        <w:t>2 、由于</w:t>
      </w:r>
      <w:r>
        <w:rPr>
          <w:rFonts w:hint="eastAsia"/>
          <w:lang w:val="en-US" w:eastAsia="zh-CN"/>
        </w:rPr>
        <w:t>丙方</w:t>
      </w:r>
      <w:r>
        <w:rPr>
          <w:rFonts w:hint="default"/>
          <w:lang w:val="en-US" w:eastAsia="zh-CN"/>
        </w:rPr>
        <w:t>下列原因，</w:t>
      </w:r>
      <w:r>
        <w:rPr>
          <w:rFonts w:hint="eastAsia"/>
          <w:lang w:val="en-US" w:eastAsia="zh-CN"/>
        </w:rPr>
        <w:t>甲方、乙方</w:t>
      </w:r>
      <w:r>
        <w:rPr>
          <w:rFonts w:hint="default"/>
          <w:lang w:val="en-US" w:eastAsia="zh-CN"/>
        </w:rPr>
        <w:t>有权单方解除合同，且</w:t>
      </w:r>
      <w:r>
        <w:rPr>
          <w:rFonts w:hint="eastAsia"/>
          <w:lang w:val="en-US" w:eastAsia="zh-CN"/>
        </w:rPr>
        <w:t>丙方</w:t>
      </w:r>
      <w:r>
        <w:rPr>
          <w:rFonts w:hint="default"/>
          <w:lang w:val="en-US" w:eastAsia="zh-CN"/>
        </w:rPr>
        <w:t>应按合同年维保费用的20%支付违约金：</w:t>
      </w:r>
    </w:p>
    <w:p>
      <w:pPr>
        <w:pStyle w:val="2"/>
        <w:rPr>
          <w:rFonts w:hint="default"/>
          <w:lang w:val="en-US" w:eastAsia="zh-CN"/>
        </w:rPr>
      </w:pPr>
      <w:r>
        <w:rPr>
          <w:rFonts w:hint="default"/>
          <w:lang w:val="en-US" w:eastAsia="zh-CN"/>
        </w:rPr>
        <w:t>（1）</w:t>
      </w:r>
      <w:r>
        <w:rPr>
          <w:rFonts w:hint="eastAsia"/>
          <w:lang w:val="en-US" w:eastAsia="zh-CN"/>
        </w:rPr>
        <w:t>丙方</w:t>
      </w:r>
      <w:r>
        <w:rPr>
          <w:rFonts w:hint="default"/>
          <w:lang w:val="en-US" w:eastAsia="zh-CN"/>
        </w:rPr>
        <w:t>接受</w:t>
      </w:r>
      <w:r>
        <w:rPr>
          <w:rFonts w:hint="eastAsia"/>
          <w:lang w:val="en-US" w:eastAsia="zh-CN"/>
        </w:rPr>
        <w:t>甲方、乙方</w:t>
      </w:r>
      <w:r>
        <w:rPr>
          <w:rFonts w:hint="default"/>
          <w:lang w:val="en-US" w:eastAsia="zh-CN"/>
        </w:rPr>
        <w:t>的监督和考评，考评结果不符合</w:t>
      </w:r>
      <w:r>
        <w:rPr>
          <w:rFonts w:hint="eastAsia"/>
          <w:lang w:val="en-US" w:eastAsia="zh-CN"/>
        </w:rPr>
        <w:t>甲方、乙方</w:t>
      </w:r>
      <w:r>
        <w:rPr>
          <w:rFonts w:hint="default"/>
          <w:lang w:val="en-US" w:eastAsia="zh-CN"/>
        </w:rPr>
        <w:t>要求的；</w:t>
      </w:r>
    </w:p>
    <w:p>
      <w:pPr>
        <w:pStyle w:val="2"/>
        <w:rPr>
          <w:rFonts w:hint="default"/>
          <w:lang w:val="en-US" w:eastAsia="zh-CN"/>
        </w:rPr>
      </w:pPr>
      <w:r>
        <w:rPr>
          <w:rFonts w:hint="default"/>
          <w:lang w:val="en-US" w:eastAsia="zh-CN"/>
        </w:rPr>
        <w:t>（2）电梯维修人员无《特种作业人员操作证》；</w:t>
      </w:r>
    </w:p>
    <w:p>
      <w:pPr>
        <w:pStyle w:val="2"/>
        <w:rPr>
          <w:rFonts w:hint="default"/>
          <w:lang w:val="en-US" w:eastAsia="zh-CN"/>
        </w:rPr>
      </w:pPr>
      <w:r>
        <w:rPr>
          <w:rFonts w:hint="default"/>
          <w:lang w:val="en-US" w:eastAsia="zh-CN"/>
        </w:rPr>
        <w:t>（3）维修保养项目不符合标准，经</w:t>
      </w:r>
      <w:r>
        <w:rPr>
          <w:rFonts w:hint="eastAsia"/>
          <w:lang w:val="en-US" w:eastAsia="zh-CN"/>
        </w:rPr>
        <w:t>甲方、乙方</w:t>
      </w:r>
      <w:r>
        <w:rPr>
          <w:rFonts w:hint="default"/>
          <w:lang w:val="en-US" w:eastAsia="zh-CN"/>
        </w:rPr>
        <w:t>指正仍无改善的；</w:t>
      </w:r>
    </w:p>
    <w:p>
      <w:pPr>
        <w:pStyle w:val="2"/>
        <w:rPr>
          <w:rFonts w:hint="default"/>
          <w:lang w:val="en-US" w:eastAsia="zh-CN"/>
        </w:rPr>
      </w:pPr>
      <w:r>
        <w:rPr>
          <w:rFonts w:hint="default"/>
          <w:lang w:val="en-US" w:eastAsia="zh-CN"/>
        </w:rPr>
        <w:t>（4）维保期间，发生三次电梯困人事故的；</w:t>
      </w:r>
    </w:p>
    <w:p>
      <w:pPr>
        <w:pStyle w:val="2"/>
        <w:rPr>
          <w:rFonts w:hint="default"/>
          <w:lang w:val="en-US" w:eastAsia="zh-CN"/>
        </w:rPr>
      </w:pPr>
      <w:r>
        <w:rPr>
          <w:rFonts w:hint="default"/>
          <w:lang w:val="en-US" w:eastAsia="zh-CN"/>
        </w:rPr>
        <w:t>（5）因维修不当造成人身或设备损坏，情节比较严重的；</w:t>
      </w:r>
    </w:p>
    <w:p>
      <w:pPr>
        <w:pStyle w:val="2"/>
        <w:rPr>
          <w:rFonts w:hint="default"/>
          <w:lang w:val="en-US" w:eastAsia="zh-CN"/>
        </w:rPr>
      </w:pPr>
      <w:r>
        <w:rPr>
          <w:rFonts w:hint="default"/>
          <w:lang w:val="en-US" w:eastAsia="zh-CN"/>
        </w:rPr>
        <w:t>（6）因维修保养不到位，致使电梯年检不合格，在技监部门复检不合格的；</w:t>
      </w:r>
    </w:p>
    <w:p>
      <w:pPr>
        <w:pStyle w:val="2"/>
        <w:rPr>
          <w:rFonts w:hint="default"/>
          <w:lang w:val="en-US" w:eastAsia="zh-CN"/>
        </w:rPr>
      </w:pPr>
      <w:r>
        <w:rPr>
          <w:rFonts w:hint="default"/>
          <w:lang w:val="en-US" w:eastAsia="zh-CN"/>
        </w:rPr>
        <w:t>（7）紧急故障不能在指定时间内派员前来处理，累计达三次以上的；</w:t>
      </w:r>
    </w:p>
    <w:p>
      <w:pPr>
        <w:pStyle w:val="2"/>
        <w:rPr>
          <w:rFonts w:hint="default"/>
          <w:lang w:val="en-US" w:eastAsia="zh-CN"/>
        </w:rPr>
      </w:pPr>
      <w:r>
        <w:rPr>
          <w:rFonts w:hint="default"/>
          <w:lang w:val="en-US" w:eastAsia="zh-CN"/>
        </w:rPr>
        <w:t>3、如因</w:t>
      </w:r>
      <w:r>
        <w:rPr>
          <w:rFonts w:hint="eastAsia"/>
          <w:lang w:val="en-US" w:eastAsia="zh-CN"/>
        </w:rPr>
        <w:t>丙方</w:t>
      </w:r>
      <w:r>
        <w:rPr>
          <w:rFonts w:hint="default"/>
          <w:lang w:val="en-US" w:eastAsia="zh-CN"/>
        </w:rPr>
        <w:t>未全面履行合同义务，</w:t>
      </w:r>
      <w:r>
        <w:rPr>
          <w:rFonts w:hint="eastAsia"/>
          <w:lang w:val="en-US" w:eastAsia="zh-CN"/>
        </w:rPr>
        <w:t>甲方、乙方</w:t>
      </w:r>
      <w:r>
        <w:rPr>
          <w:rFonts w:hint="default"/>
          <w:lang w:val="en-US" w:eastAsia="zh-CN"/>
        </w:rPr>
        <w:t>有权要造求</w:t>
      </w:r>
      <w:r>
        <w:rPr>
          <w:rFonts w:hint="eastAsia"/>
          <w:lang w:val="en-US" w:eastAsia="zh-CN"/>
        </w:rPr>
        <w:t>丙方</w:t>
      </w:r>
      <w:r>
        <w:rPr>
          <w:rFonts w:hint="default"/>
          <w:lang w:val="en-US" w:eastAsia="zh-CN"/>
        </w:rPr>
        <w:t>限期整改，成</w:t>
      </w:r>
      <w:r>
        <w:rPr>
          <w:rFonts w:hint="eastAsia"/>
          <w:lang w:val="en-US" w:eastAsia="zh-CN"/>
        </w:rPr>
        <w:t>甲方、乙方</w:t>
      </w:r>
      <w:r>
        <w:rPr>
          <w:rFonts w:hint="default"/>
          <w:lang w:val="en-US" w:eastAsia="zh-CN"/>
        </w:rPr>
        <w:t>经济损失的，</w:t>
      </w:r>
      <w:r>
        <w:rPr>
          <w:rFonts w:hint="eastAsia"/>
          <w:lang w:val="en-US" w:eastAsia="zh-CN"/>
        </w:rPr>
        <w:t>丙方</w:t>
      </w:r>
      <w:r>
        <w:rPr>
          <w:rFonts w:hint="default"/>
          <w:lang w:val="en-US" w:eastAsia="zh-CN"/>
        </w:rPr>
        <w:t xml:space="preserve">应予赔偿。   </w:t>
      </w:r>
    </w:p>
    <w:p>
      <w:pPr>
        <w:pStyle w:val="2"/>
        <w:rPr>
          <w:rFonts w:hint="default"/>
          <w:lang w:val="en-US" w:eastAsia="zh-CN"/>
        </w:rPr>
      </w:pPr>
      <w:r>
        <w:rPr>
          <w:rFonts w:hint="default"/>
          <w:lang w:val="en-US" w:eastAsia="zh-CN"/>
        </w:rPr>
        <w:t>4、</w:t>
      </w:r>
      <w:r>
        <w:rPr>
          <w:rFonts w:hint="eastAsia"/>
          <w:lang w:val="en-US" w:eastAsia="zh-CN"/>
        </w:rPr>
        <w:t>丙方</w:t>
      </w:r>
      <w:r>
        <w:rPr>
          <w:rFonts w:hint="default"/>
          <w:lang w:val="en-US" w:eastAsia="zh-CN"/>
        </w:rPr>
        <w:t>未按照本合同约定的时间履行合同义务的，每逾期一天，</w:t>
      </w:r>
      <w:r>
        <w:rPr>
          <w:rFonts w:hint="eastAsia"/>
          <w:lang w:val="en-US" w:eastAsia="zh-CN"/>
        </w:rPr>
        <w:t>丙方</w:t>
      </w:r>
      <w:r>
        <w:rPr>
          <w:rFonts w:hint="default"/>
          <w:lang w:val="en-US" w:eastAsia="zh-CN"/>
        </w:rPr>
        <w:t>应当向</w:t>
      </w:r>
      <w:r>
        <w:rPr>
          <w:rFonts w:hint="eastAsia"/>
          <w:lang w:val="en-US" w:eastAsia="zh-CN"/>
        </w:rPr>
        <w:t>甲方、乙方</w:t>
      </w:r>
      <w:r>
        <w:rPr>
          <w:rFonts w:hint="default"/>
          <w:lang w:val="en-US" w:eastAsia="zh-CN"/>
        </w:rPr>
        <w:t>支付本合同年维保费用5%的违约金。逾期超过7个工作日，或使</w:t>
      </w:r>
      <w:r>
        <w:rPr>
          <w:rFonts w:hint="eastAsia"/>
          <w:lang w:val="en-US" w:eastAsia="zh-CN"/>
        </w:rPr>
        <w:t>甲方、乙方</w:t>
      </w:r>
      <w:r>
        <w:rPr>
          <w:rFonts w:hint="default"/>
          <w:lang w:val="en-US" w:eastAsia="zh-CN"/>
        </w:rPr>
        <w:t>不能实现合同目的、继续履行已经无意义的，</w:t>
      </w:r>
      <w:r>
        <w:rPr>
          <w:rFonts w:hint="eastAsia"/>
          <w:lang w:val="en-US" w:eastAsia="zh-CN"/>
        </w:rPr>
        <w:t>甲方、乙方</w:t>
      </w:r>
      <w:r>
        <w:rPr>
          <w:rFonts w:hint="default"/>
          <w:lang w:val="en-US" w:eastAsia="zh-CN"/>
        </w:rPr>
        <w:t>有权立即解除合同并要求</w:t>
      </w:r>
      <w:r>
        <w:rPr>
          <w:rFonts w:hint="eastAsia"/>
          <w:lang w:val="en-US" w:eastAsia="zh-CN"/>
        </w:rPr>
        <w:t>丙方</w:t>
      </w:r>
      <w:r>
        <w:rPr>
          <w:rFonts w:hint="default"/>
          <w:lang w:val="en-US" w:eastAsia="zh-CN"/>
        </w:rPr>
        <w:t>支付本合同年维保费用20%的违约金。</w:t>
      </w:r>
    </w:p>
    <w:p>
      <w:pPr>
        <w:pStyle w:val="2"/>
        <w:rPr>
          <w:rFonts w:hint="default"/>
          <w:lang w:val="en-US" w:eastAsia="zh-CN"/>
        </w:rPr>
      </w:pPr>
      <w:r>
        <w:rPr>
          <w:rFonts w:hint="default"/>
          <w:lang w:val="en-US" w:eastAsia="zh-CN"/>
        </w:rPr>
        <w:t>5、</w:t>
      </w:r>
      <w:r>
        <w:rPr>
          <w:rFonts w:hint="eastAsia"/>
          <w:lang w:val="en-US" w:eastAsia="zh-CN"/>
        </w:rPr>
        <w:t>丙方</w:t>
      </w:r>
      <w:r>
        <w:rPr>
          <w:rFonts w:hint="default"/>
          <w:lang w:val="en-US" w:eastAsia="zh-CN"/>
        </w:rPr>
        <w:t>擅自将本合同项下内容转包、分包或部分转包、分包给第三人的，</w:t>
      </w:r>
      <w:r>
        <w:rPr>
          <w:rFonts w:hint="eastAsia"/>
          <w:lang w:val="en-US" w:eastAsia="zh-CN"/>
        </w:rPr>
        <w:t>甲方、乙方</w:t>
      </w:r>
      <w:r>
        <w:rPr>
          <w:rFonts w:hint="default"/>
          <w:lang w:val="en-US" w:eastAsia="zh-CN"/>
        </w:rPr>
        <w:t>有权单方解除合同，并且</w:t>
      </w:r>
      <w:r>
        <w:rPr>
          <w:rFonts w:hint="eastAsia"/>
          <w:lang w:val="en-US" w:eastAsia="zh-CN"/>
        </w:rPr>
        <w:t>丙方</w:t>
      </w:r>
      <w:r>
        <w:rPr>
          <w:rFonts w:hint="default"/>
          <w:lang w:val="en-US" w:eastAsia="zh-CN"/>
        </w:rPr>
        <w:t>应按合同年维保费用的30%向</w:t>
      </w:r>
      <w:r>
        <w:rPr>
          <w:rFonts w:hint="eastAsia"/>
          <w:lang w:val="en-US" w:eastAsia="zh-CN"/>
        </w:rPr>
        <w:t>甲方、乙方</w:t>
      </w:r>
      <w:r>
        <w:rPr>
          <w:rFonts w:hint="default"/>
          <w:lang w:val="en-US" w:eastAsia="zh-CN"/>
        </w:rPr>
        <w:t>支付违约金。</w:t>
      </w:r>
    </w:p>
    <w:p>
      <w:pPr>
        <w:pStyle w:val="2"/>
        <w:rPr>
          <w:rFonts w:hint="default"/>
          <w:lang w:val="en-US" w:eastAsia="zh-CN"/>
        </w:rPr>
      </w:pPr>
      <w:r>
        <w:rPr>
          <w:rFonts w:hint="default"/>
          <w:lang w:val="en-US" w:eastAsia="zh-CN"/>
        </w:rPr>
        <w:t xml:space="preserve">    6、</w:t>
      </w:r>
      <w:r>
        <w:rPr>
          <w:rFonts w:hint="eastAsia"/>
          <w:lang w:val="en-US" w:eastAsia="zh-CN"/>
        </w:rPr>
        <w:t>丙方</w:t>
      </w:r>
      <w:r>
        <w:rPr>
          <w:rFonts w:hint="default"/>
          <w:lang w:val="en-US" w:eastAsia="zh-CN"/>
        </w:rPr>
        <w:t>公司或人员无法定资质、或提供虚假、过期的资质，视为根本违约。服务尚未经验收的，</w:t>
      </w:r>
      <w:r>
        <w:rPr>
          <w:rFonts w:hint="eastAsia"/>
          <w:lang w:val="en-US" w:eastAsia="zh-CN"/>
        </w:rPr>
        <w:t>丙方</w:t>
      </w:r>
      <w:r>
        <w:rPr>
          <w:rFonts w:hint="default"/>
          <w:lang w:val="en-US" w:eastAsia="zh-CN"/>
        </w:rPr>
        <w:t>退还</w:t>
      </w:r>
      <w:r>
        <w:rPr>
          <w:rFonts w:hint="eastAsia"/>
          <w:lang w:val="en-US" w:eastAsia="zh-CN"/>
        </w:rPr>
        <w:t>甲方、乙方</w:t>
      </w:r>
      <w:r>
        <w:rPr>
          <w:rFonts w:hint="default"/>
          <w:lang w:val="en-US" w:eastAsia="zh-CN"/>
        </w:rPr>
        <w:t>全部合同款并另行支付30%合同年维保费用作为违约金且本合同终止；服务已验收合格的，</w:t>
      </w:r>
      <w:r>
        <w:rPr>
          <w:rFonts w:hint="eastAsia"/>
          <w:lang w:val="en-US" w:eastAsia="zh-CN"/>
        </w:rPr>
        <w:t>丙方</w:t>
      </w:r>
      <w:r>
        <w:rPr>
          <w:rFonts w:hint="default"/>
          <w:lang w:val="en-US" w:eastAsia="zh-CN"/>
        </w:rPr>
        <w:t>退还</w:t>
      </w:r>
      <w:r>
        <w:rPr>
          <w:rFonts w:hint="eastAsia"/>
          <w:lang w:val="en-US" w:eastAsia="zh-CN"/>
        </w:rPr>
        <w:t>甲方、乙方</w:t>
      </w:r>
      <w:r>
        <w:rPr>
          <w:rFonts w:hint="default"/>
          <w:lang w:val="en-US" w:eastAsia="zh-CN"/>
        </w:rPr>
        <w:t>50%的合同年维保费用，本合同终止。</w:t>
      </w:r>
    </w:p>
    <w:p>
      <w:pPr>
        <w:pStyle w:val="2"/>
        <w:rPr>
          <w:rFonts w:hint="default"/>
          <w:lang w:val="en-US" w:eastAsia="zh-CN"/>
        </w:rPr>
      </w:pPr>
    </w:p>
    <w:p>
      <w:pPr>
        <w:pStyle w:val="2"/>
        <w:rPr>
          <w:rFonts w:hint="default"/>
          <w:lang w:val="en-US" w:eastAsia="zh-CN"/>
        </w:rPr>
      </w:pPr>
      <w:r>
        <w:rPr>
          <w:rFonts w:hint="default"/>
          <w:lang w:val="en-US" w:eastAsia="zh-CN"/>
        </w:rPr>
        <w:t xml:space="preserve">    第十三条 保密责任</w:t>
      </w:r>
    </w:p>
    <w:p>
      <w:pPr>
        <w:pStyle w:val="2"/>
        <w:rPr>
          <w:rFonts w:hint="default"/>
          <w:lang w:val="en-US" w:eastAsia="zh-CN"/>
        </w:rPr>
      </w:pPr>
      <w:r>
        <w:rPr>
          <w:rFonts w:hint="eastAsia"/>
          <w:lang w:val="en-US" w:eastAsia="zh-CN"/>
        </w:rPr>
        <w:t>丙方</w:t>
      </w:r>
      <w:r>
        <w:rPr>
          <w:rFonts w:hint="default"/>
          <w:lang w:val="en-US" w:eastAsia="zh-CN"/>
        </w:rPr>
        <w:t>及其工作人员对合同履行过程中，了解或知晓的</w:t>
      </w:r>
      <w:r>
        <w:rPr>
          <w:rFonts w:hint="eastAsia"/>
          <w:lang w:val="en-US" w:eastAsia="zh-CN"/>
        </w:rPr>
        <w:t>甲方、乙方</w:t>
      </w:r>
      <w:r>
        <w:rPr>
          <w:rFonts w:hint="default"/>
          <w:lang w:val="en-US" w:eastAsia="zh-CN"/>
        </w:rPr>
        <w:t>的知识产权、商业秘密、客户资料及合同项下的一切交易信息承担保密义务。未经</w:t>
      </w:r>
      <w:r>
        <w:rPr>
          <w:rFonts w:hint="eastAsia"/>
          <w:lang w:val="en-US" w:eastAsia="zh-CN"/>
        </w:rPr>
        <w:t>甲方、乙方</w:t>
      </w:r>
      <w:r>
        <w:rPr>
          <w:rFonts w:hint="default"/>
          <w:lang w:val="en-US" w:eastAsia="zh-CN"/>
        </w:rPr>
        <w:t>书面授权，擅自向第三人提供或透露的，应赔偿</w:t>
      </w:r>
      <w:r>
        <w:rPr>
          <w:rFonts w:hint="eastAsia"/>
          <w:lang w:val="en-US" w:eastAsia="zh-CN"/>
        </w:rPr>
        <w:t>甲方、乙方</w:t>
      </w:r>
      <w:r>
        <w:rPr>
          <w:rFonts w:hint="default"/>
          <w:lang w:val="en-US" w:eastAsia="zh-CN"/>
        </w:rPr>
        <w:t>一切损失。</w:t>
      </w:r>
      <w:r>
        <w:rPr>
          <w:rFonts w:hint="eastAsia"/>
          <w:lang w:val="en-US" w:eastAsia="zh-CN"/>
        </w:rPr>
        <w:t>丙方</w:t>
      </w:r>
      <w:r>
        <w:rPr>
          <w:rFonts w:hint="default"/>
          <w:lang w:val="en-US" w:eastAsia="zh-CN"/>
        </w:rPr>
        <w:t>本合同项下的保密义务长期有效，不因合同中止、终止而终止。</w:t>
      </w:r>
    </w:p>
    <w:p>
      <w:pPr>
        <w:pStyle w:val="2"/>
        <w:rPr>
          <w:rFonts w:hint="default"/>
          <w:lang w:val="en-US" w:eastAsia="zh-CN"/>
        </w:rPr>
      </w:pPr>
      <w:r>
        <w:rPr>
          <w:rFonts w:hint="default"/>
          <w:lang w:val="en-US" w:eastAsia="zh-CN"/>
        </w:rPr>
        <w:t xml:space="preserve">    第十四条 不可抗力</w:t>
      </w:r>
    </w:p>
    <w:p>
      <w:pPr>
        <w:pStyle w:val="2"/>
        <w:rPr>
          <w:rFonts w:hint="default"/>
          <w:lang w:val="en-US" w:eastAsia="zh-CN"/>
        </w:rPr>
      </w:pPr>
      <w:r>
        <w:rPr>
          <w:rFonts w:hint="default"/>
          <w:lang w:val="en-US" w:eastAsia="zh-CN"/>
        </w:rPr>
        <w:t xml:space="preserve">    1、当一方由于不可抗力的原因而不能履行合同时，应立即以书面形式通知对方有关详细情况，并尽合理的努力减少双方的损失。</w:t>
      </w:r>
    </w:p>
    <w:p>
      <w:pPr>
        <w:pStyle w:val="2"/>
        <w:rPr>
          <w:rFonts w:hint="default"/>
          <w:lang w:val="en-US" w:eastAsia="zh-CN"/>
        </w:rPr>
      </w:pPr>
      <w:r>
        <w:rPr>
          <w:rFonts w:hint="default"/>
          <w:lang w:val="en-US" w:eastAsia="zh-CN"/>
        </w:rPr>
        <w:t xml:space="preserve">    2、受不可抗力影响的一方应在不可抗力结束后 7 日内，向另一方提交事故发生地的公证部门或政府机关对不可抗力发生时间、持续时间及影响力的证明文件，双方应积极协商有关协议继续履行或终止的有关事宜；超出规定时间未提供有效的证明文件将被视为未出现不可抗力。</w:t>
      </w:r>
    </w:p>
    <w:p>
      <w:pPr>
        <w:pStyle w:val="2"/>
        <w:rPr>
          <w:rFonts w:hint="default"/>
          <w:lang w:val="en-US" w:eastAsia="zh-CN"/>
        </w:rPr>
      </w:pPr>
      <w:r>
        <w:rPr>
          <w:rFonts w:hint="default"/>
          <w:lang w:val="en-US" w:eastAsia="zh-CN"/>
        </w:rPr>
        <w:t>第十五条 其他事项</w:t>
      </w:r>
    </w:p>
    <w:p>
      <w:pPr>
        <w:pStyle w:val="2"/>
        <w:rPr>
          <w:rFonts w:hint="default"/>
          <w:lang w:val="en-US" w:eastAsia="zh-CN"/>
        </w:rPr>
      </w:pPr>
      <w:r>
        <w:rPr>
          <w:rFonts w:hint="default"/>
          <w:lang w:val="en-US" w:eastAsia="zh-CN"/>
        </w:rPr>
        <w:t>1、本合同自双方法定代表人或授权代表签字并加盖公司公章后生效。</w:t>
      </w:r>
    </w:p>
    <w:p>
      <w:pPr>
        <w:pStyle w:val="2"/>
        <w:rPr>
          <w:rFonts w:hint="default"/>
          <w:lang w:val="en-US" w:eastAsia="zh-CN"/>
        </w:rPr>
      </w:pPr>
      <w:r>
        <w:rPr>
          <w:rFonts w:hint="default"/>
          <w:lang w:val="en-US" w:eastAsia="zh-CN"/>
        </w:rPr>
        <w:t>2、维保记录是记载电梯运行、维护、保养的依据。每台电梯均应建立独立的维保记录。维保记录应一式两份，甲乙双方各保存一份，保存时间为   4  年。维修与抢修记录均应当长期保存。</w:t>
      </w:r>
    </w:p>
    <w:p>
      <w:pPr>
        <w:pStyle w:val="2"/>
        <w:rPr>
          <w:rFonts w:hint="default"/>
          <w:lang w:val="en-US" w:eastAsia="zh-CN"/>
        </w:rPr>
      </w:pPr>
      <w:r>
        <w:rPr>
          <w:rFonts w:hint="default"/>
          <w:lang w:val="en-US" w:eastAsia="zh-CN"/>
        </w:rPr>
        <w:t>3、如因履行本合同及合同有关事项发生任何争议，双方应本着诚实信用原则，通过友好协商解决。经协商不能解决时，合同的任何一方可将争议提交由</w:t>
      </w:r>
      <w:r>
        <w:rPr>
          <w:rFonts w:hint="eastAsia"/>
          <w:lang w:val="en-US" w:eastAsia="zh-CN"/>
        </w:rPr>
        <w:t>甲方、乙方</w:t>
      </w:r>
      <w:r>
        <w:rPr>
          <w:rFonts w:hint="default"/>
          <w:lang w:val="en-US" w:eastAsia="zh-CN"/>
        </w:rPr>
        <w:t>所在地人民法院管辖。</w:t>
      </w:r>
    </w:p>
    <w:p>
      <w:pPr>
        <w:pStyle w:val="2"/>
        <w:rPr>
          <w:rFonts w:hint="default"/>
          <w:lang w:val="en-US" w:eastAsia="zh-CN"/>
        </w:rPr>
      </w:pPr>
      <w:r>
        <w:rPr>
          <w:rFonts w:hint="default"/>
          <w:lang w:val="en-US" w:eastAsia="zh-CN"/>
        </w:rPr>
        <w:t>4、本合同一式 肆 份，具有相同法律效力。</w:t>
      </w:r>
      <w:r>
        <w:rPr>
          <w:rFonts w:hint="eastAsia"/>
          <w:lang w:val="en-US" w:eastAsia="zh-CN"/>
        </w:rPr>
        <w:t>甲方、乙方</w:t>
      </w:r>
      <w:r>
        <w:rPr>
          <w:rFonts w:hint="default"/>
          <w:lang w:val="en-US" w:eastAsia="zh-CN"/>
        </w:rPr>
        <w:t>执 贰 份，</w:t>
      </w:r>
      <w:r>
        <w:rPr>
          <w:rFonts w:hint="eastAsia"/>
          <w:lang w:val="en-US" w:eastAsia="zh-CN"/>
        </w:rPr>
        <w:t>丙方</w:t>
      </w:r>
      <w:r>
        <w:rPr>
          <w:rFonts w:hint="default"/>
          <w:lang w:val="en-US" w:eastAsia="zh-CN"/>
        </w:rPr>
        <w:t>执 贰 份，其他 / 份用于履行相关法律手续。</w:t>
      </w:r>
    </w:p>
    <w:p>
      <w:pPr>
        <w:pStyle w:val="2"/>
        <w:rPr>
          <w:rFonts w:hint="default"/>
          <w:lang w:val="en-US" w:eastAsia="zh-CN"/>
        </w:rPr>
      </w:pPr>
      <w:r>
        <w:rPr>
          <w:rFonts w:hint="default"/>
          <w:lang w:val="en-US" w:eastAsia="zh-CN"/>
        </w:rPr>
        <w:t>5、双方未尽事宜，按照法律法规的规定或双方另行签订的书面协议执行。</w:t>
      </w:r>
    </w:p>
    <w:p>
      <w:pPr>
        <w:pStyle w:val="2"/>
        <w:rPr>
          <w:rFonts w:hint="default"/>
          <w:lang w:val="en-US" w:eastAsia="zh-CN"/>
        </w:rPr>
      </w:pPr>
      <w:r>
        <w:rPr>
          <w:rFonts w:hint="default"/>
          <w:lang w:val="en-US" w:eastAsia="zh-CN"/>
        </w:rPr>
        <w:t xml:space="preserve">   本合同首部/签署页当事人联系方式和联系信息适用于双方往来联系、书面文件送达及争议解决时法律文书送达。</w:t>
      </w:r>
    </w:p>
    <w:p>
      <w:pPr>
        <w:pStyle w:val="2"/>
        <w:rPr>
          <w:rFonts w:hint="default"/>
          <w:lang w:val="en-US" w:eastAsia="zh-CN"/>
        </w:rPr>
      </w:pPr>
      <w:r>
        <w:rPr>
          <w:rFonts w:hint="default"/>
          <w:lang w:val="en-US" w:eastAsia="zh-CN"/>
        </w:rPr>
        <w:t>因首部/签署页联系方式和联系信息错误或单方变更后未及时书面通知而无法送达的自交邮后第7日视为送达。</w:t>
      </w:r>
    </w:p>
    <w:p>
      <w:pPr>
        <w:pStyle w:val="2"/>
        <w:rPr>
          <w:rFonts w:hint="default"/>
          <w:lang w:val="en-US" w:eastAsia="zh-CN"/>
        </w:rPr>
      </w:pPr>
    </w:p>
    <w:p>
      <w:pPr>
        <w:pStyle w:val="2"/>
        <w:rPr>
          <w:rFonts w:hint="default"/>
          <w:lang w:val="en-US" w:eastAsia="zh-CN"/>
        </w:rPr>
      </w:pPr>
      <w:r>
        <w:rPr>
          <w:rFonts w:hint="default"/>
          <w:lang w:val="en-US" w:eastAsia="zh-CN"/>
        </w:rPr>
        <w:t>（以下无正文，仅供签署）</w:t>
      </w:r>
    </w:p>
    <w:p>
      <w:pPr>
        <w:pStyle w:val="2"/>
        <w:rPr>
          <w:rFonts w:hint="default"/>
          <w:lang w:val="en-US" w:eastAsia="zh-CN"/>
        </w:rPr>
      </w:pPr>
    </w:p>
    <w:p>
      <w:pPr>
        <w:pStyle w:val="2"/>
        <w:rPr>
          <w:rFonts w:hint="default"/>
          <w:lang w:val="en-US" w:eastAsia="zh-CN"/>
        </w:rPr>
      </w:pPr>
      <w:r>
        <w:rPr>
          <w:rFonts w:hint="default"/>
          <w:lang w:val="en-US" w:eastAsia="zh-CN"/>
        </w:rPr>
        <w:t>甲方(签章)：                             乙方(签章)：</w:t>
      </w:r>
    </w:p>
    <w:p>
      <w:pPr>
        <w:pStyle w:val="2"/>
        <w:rPr>
          <w:rFonts w:hint="default"/>
          <w:lang w:val="en-US" w:eastAsia="zh-CN"/>
        </w:rPr>
      </w:pPr>
      <w:r>
        <w:rPr>
          <w:rFonts w:hint="default"/>
          <w:lang w:val="en-US" w:eastAsia="zh-CN"/>
        </w:rPr>
        <w:t xml:space="preserve">                                                                     </w:t>
      </w:r>
    </w:p>
    <w:p>
      <w:pPr>
        <w:pStyle w:val="2"/>
        <w:rPr>
          <w:rFonts w:hint="default"/>
          <w:lang w:val="en-US" w:eastAsia="zh-CN"/>
        </w:rPr>
      </w:pPr>
      <w:r>
        <w:rPr>
          <w:rFonts w:hint="default"/>
          <w:lang w:val="en-US" w:eastAsia="zh-CN"/>
        </w:rPr>
        <w:t xml:space="preserve">法定代表人或委托代理人(签章)：            法定代表人或委托代理人(签章)：   </w:t>
      </w:r>
    </w:p>
    <w:p>
      <w:pPr>
        <w:pStyle w:val="2"/>
        <w:rPr>
          <w:rFonts w:hint="default"/>
          <w:lang w:val="en-US" w:eastAsia="zh-CN"/>
        </w:rPr>
      </w:pPr>
      <w:r>
        <w:rPr>
          <w:rFonts w:hint="default"/>
          <w:lang w:val="en-US" w:eastAsia="zh-CN"/>
        </w:rPr>
        <w:t xml:space="preserve">                                                                     </w:t>
      </w:r>
    </w:p>
    <w:p>
      <w:pPr>
        <w:pStyle w:val="2"/>
        <w:rPr>
          <w:rFonts w:hint="default"/>
          <w:lang w:val="en-US" w:eastAsia="zh-CN"/>
        </w:rPr>
      </w:pPr>
      <w:r>
        <w:rPr>
          <w:rFonts w:hint="default"/>
          <w:lang w:val="en-US" w:eastAsia="zh-CN"/>
        </w:rPr>
        <w:t>签订日期：    年    月    日              签订日期：    年    月    日</w:t>
      </w:r>
    </w:p>
    <w:p>
      <w:pPr>
        <w:pStyle w:val="2"/>
        <w:rPr>
          <w:rFonts w:hint="default"/>
          <w:lang w:val="en-US" w:eastAsia="zh-CN"/>
        </w:rPr>
      </w:pPr>
      <w:r>
        <w:rPr>
          <w:rFonts w:hint="eastAsia"/>
          <w:lang w:val="en-US" w:eastAsia="zh-CN"/>
        </w:rPr>
        <w:t>丙</w:t>
      </w:r>
      <w:r>
        <w:rPr>
          <w:rFonts w:hint="default"/>
          <w:lang w:val="en-US" w:eastAsia="zh-CN"/>
        </w:rPr>
        <w:t>方(签章)：</w:t>
      </w:r>
    </w:p>
    <w:p>
      <w:pPr>
        <w:pStyle w:val="2"/>
        <w:rPr>
          <w:rFonts w:hint="default"/>
          <w:lang w:val="en-US" w:eastAsia="zh-CN"/>
        </w:rPr>
      </w:pPr>
      <w:r>
        <w:rPr>
          <w:rFonts w:hint="default"/>
          <w:lang w:val="en-US" w:eastAsia="zh-CN"/>
        </w:rPr>
        <w:t xml:space="preserve">                                                                     </w:t>
      </w:r>
    </w:p>
    <w:p>
      <w:pPr>
        <w:pStyle w:val="2"/>
        <w:rPr>
          <w:rFonts w:hint="default"/>
          <w:lang w:val="en-US" w:eastAsia="zh-CN"/>
        </w:rPr>
      </w:pPr>
      <w:r>
        <w:rPr>
          <w:rFonts w:hint="default"/>
          <w:lang w:val="en-US" w:eastAsia="zh-CN"/>
        </w:rPr>
        <w:t xml:space="preserve">法定代表人或委托代理人(签章)：        </w:t>
      </w:r>
    </w:p>
    <w:p>
      <w:pPr>
        <w:pStyle w:val="2"/>
        <w:rPr>
          <w:rFonts w:hint="default"/>
          <w:lang w:val="en-US" w:eastAsia="zh-CN"/>
        </w:rPr>
      </w:pPr>
    </w:p>
    <w:p>
      <w:pPr>
        <w:pStyle w:val="2"/>
        <w:rPr>
          <w:rFonts w:hint="default"/>
          <w:lang w:val="en-US" w:eastAsia="zh-CN"/>
        </w:rPr>
      </w:pPr>
      <w:r>
        <w:rPr>
          <w:rFonts w:hint="default"/>
          <w:lang w:val="en-US" w:eastAsia="zh-CN"/>
        </w:rPr>
        <w:t xml:space="preserve">签订日期：    年    月    日       </w:t>
      </w:r>
    </w:p>
    <w:p>
      <w:pPr>
        <w:rPr>
          <w:rFonts w:hint="default"/>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经典等线简">
    <w:altName w:val="宋体"/>
    <w:panose1 w:val="00000000000000000000"/>
    <w:charset w:val="86"/>
    <w:family w:val="modern"/>
    <w:pitch w:val="default"/>
    <w:sig w:usb0="00000000" w:usb1="00000000" w:usb2="0000001E"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87D26"/>
    <w:multiLevelType w:val="singleLevel"/>
    <w:tmpl w:val="CE287D26"/>
    <w:lvl w:ilvl="0" w:tentative="0">
      <w:start w:val="1"/>
      <w:numFmt w:val="decimal"/>
      <w:lvlText w:val="%1."/>
      <w:lvlJc w:val="left"/>
      <w:pPr>
        <w:ind w:left="425" w:hanging="425"/>
      </w:pPr>
      <w:rPr>
        <w:rFonts w:hint="default"/>
      </w:rPr>
    </w:lvl>
  </w:abstractNum>
  <w:abstractNum w:abstractNumId="1">
    <w:nsid w:val="EEFAF984"/>
    <w:multiLevelType w:val="singleLevel"/>
    <w:tmpl w:val="EEFAF984"/>
    <w:lvl w:ilvl="0" w:tentative="0">
      <w:start w:val="1"/>
      <w:numFmt w:val="chineseCounting"/>
      <w:suff w:val="space"/>
      <w:lvlText w:val="%1、"/>
      <w:lvlJc w:val="left"/>
      <w:rPr>
        <w:rFonts w:hint="eastAsia"/>
      </w:rPr>
    </w:lvl>
  </w:abstractNum>
  <w:abstractNum w:abstractNumId="2">
    <w:nsid w:val="24930BAE"/>
    <w:multiLevelType w:val="singleLevel"/>
    <w:tmpl w:val="24930BAE"/>
    <w:lvl w:ilvl="0" w:tentative="0">
      <w:start w:val="2"/>
      <w:numFmt w:val="chineseCounting"/>
      <w:suff w:val="nothing"/>
      <w:lvlText w:val="（%1）"/>
      <w:lvlJc w:val="left"/>
      <w:rPr>
        <w:rFonts w:hint="eastAsia"/>
      </w:rPr>
    </w:lvl>
  </w:abstractNum>
  <w:abstractNum w:abstractNumId="3">
    <w:nsid w:val="5AF81684"/>
    <w:multiLevelType w:val="singleLevel"/>
    <w:tmpl w:val="5AF81684"/>
    <w:lvl w:ilvl="0" w:tentative="0">
      <w:start w:val="5"/>
      <w:numFmt w:val="chineseCounting"/>
      <w:suff w:val="space"/>
      <w:lvlText w:val="第%1条"/>
      <w:lvlJc w:val="left"/>
      <w:rPr>
        <w:rFonts w:hint="eastAsia"/>
      </w:rPr>
    </w:lvl>
  </w:abstractNum>
  <w:abstractNum w:abstractNumId="4">
    <w:nsid w:val="7B1E7E13"/>
    <w:multiLevelType w:val="multilevel"/>
    <w:tmpl w:val="7B1E7E13"/>
    <w:lvl w:ilvl="0" w:tentative="0">
      <w:start w:val="2"/>
      <w:numFmt w:val="japaneseCounting"/>
      <w:lvlText w:val="（%1）"/>
      <w:lvlJc w:val="left"/>
      <w:pPr>
        <w:ind w:left="1245" w:hanging="1080"/>
      </w:pPr>
      <w:rPr>
        <w:rFonts w:hint="default"/>
      </w:rPr>
    </w:lvl>
    <w:lvl w:ilvl="1" w:tentative="0">
      <w:start w:val="1"/>
      <w:numFmt w:val="lowerLetter"/>
      <w:lvlText w:val="%2)"/>
      <w:lvlJc w:val="left"/>
      <w:pPr>
        <w:ind w:left="1005" w:hanging="420"/>
      </w:pPr>
    </w:lvl>
    <w:lvl w:ilvl="2" w:tentative="0">
      <w:start w:val="1"/>
      <w:numFmt w:val="lowerRoman"/>
      <w:lvlText w:val="%3."/>
      <w:lvlJc w:val="right"/>
      <w:pPr>
        <w:ind w:left="1425" w:hanging="420"/>
      </w:pPr>
    </w:lvl>
    <w:lvl w:ilvl="3" w:tentative="0">
      <w:start w:val="1"/>
      <w:numFmt w:val="decimal"/>
      <w:lvlText w:val="%4."/>
      <w:lvlJc w:val="left"/>
      <w:pPr>
        <w:ind w:left="1845" w:hanging="420"/>
      </w:pPr>
    </w:lvl>
    <w:lvl w:ilvl="4" w:tentative="0">
      <w:start w:val="1"/>
      <w:numFmt w:val="lowerLetter"/>
      <w:lvlText w:val="%5)"/>
      <w:lvlJc w:val="left"/>
      <w:pPr>
        <w:ind w:left="2265" w:hanging="420"/>
      </w:pPr>
    </w:lvl>
    <w:lvl w:ilvl="5" w:tentative="0">
      <w:start w:val="1"/>
      <w:numFmt w:val="lowerRoman"/>
      <w:lvlText w:val="%6."/>
      <w:lvlJc w:val="right"/>
      <w:pPr>
        <w:ind w:left="2685" w:hanging="420"/>
      </w:pPr>
    </w:lvl>
    <w:lvl w:ilvl="6" w:tentative="0">
      <w:start w:val="1"/>
      <w:numFmt w:val="decimal"/>
      <w:lvlText w:val="%7."/>
      <w:lvlJc w:val="left"/>
      <w:pPr>
        <w:ind w:left="3105" w:hanging="420"/>
      </w:pPr>
    </w:lvl>
    <w:lvl w:ilvl="7" w:tentative="0">
      <w:start w:val="1"/>
      <w:numFmt w:val="lowerLetter"/>
      <w:lvlText w:val="%8)"/>
      <w:lvlJc w:val="left"/>
      <w:pPr>
        <w:ind w:left="3525" w:hanging="420"/>
      </w:pPr>
    </w:lvl>
    <w:lvl w:ilvl="8" w:tentative="0">
      <w:start w:val="1"/>
      <w:numFmt w:val="lowerRoman"/>
      <w:lvlText w:val="%9."/>
      <w:lvlJc w:val="right"/>
      <w:pPr>
        <w:ind w:left="3945"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NDJmNjc5Y2YwMGNlOTIwNzkyNjAxYmI3NmU0YWIifQ=="/>
    <w:docVar w:name="KSO_WPS_MARK_KEY" w:val="2f1d9898-2615-49cd-bf89-bbea956c9f6e"/>
  </w:docVars>
  <w:rsids>
    <w:rsidRoot w:val="00000000"/>
    <w:rsid w:val="00A6026A"/>
    <w:rsid w:val="02107F56"/>
    <w:rsid w:val="03DE4C6E"/>
    <w:rsid w:val="05991073"/>
    <w:rsid w:val="05C151DC"/>
    <w:rsid w:val="06287461"/>
    <w:rsid w:val="06F2019A"/>
    <w:rsid w:val="06F959F2"/>
    <w:rsid w:val="095F002C"/>
    <w:rsid w:val="0CA02236"/>
    <w:rsid w:val="0D8C4C83"/>
    <w:rsid w:val="0D933D59"/>
    <w:rsid w:val="11AF70C1"/>
    <w:rsid w:val="11C75D80"/>
    <w:rsid w:val="1222629B"/>
    <w:rsid w:val="13320A68"/>
    <w:rsid w:val="144034AD"/>
    <w:rsid w:val="1645538F"/>
    <w:rsid w:val="1767485C"/>
    <w:rsid w:val="19CC487B"/>
    <w:rsid w:val="19D10E4A"/>
    <w:rsid w:val="1BFE2697"/>
    <w:rsid w:val="1C863E1B"/>
    <w:rsid w:val="1CB7618C"/>
    <w:rsid w:val="1D941FB1"/>
    <w:rsid w:val="202F11BB"/>
    <w:rsid w:val="20F23ADB"/>
    <w:rsid w:val="2105124D"/>
    <w:rsid w:val="21C7484E"/>
    <w:rsid w:val="22E83DA8"/>
    <w:rsid w:val="233D0598"/>
    <w:rsid w:val="24E9739B"/>
    <w:rsid w:val="25011991"/>
    <w:rsid w:val="26D2713A"/>
    <w:rsid w:val="26E80998"/>
    <w:rsid w:val="29B17ADB"/>
    <w:rsid w:val="2A81510D"/>
    <w:rsid w:val="2B0674C1"/>
    <w:rsid w:val="2B903ECF"/>
    <w:rsid w:val="2E525350"/>
    <w:rsid w:val="2F495BB9"/>
    <w:rsid w:val="31432867"/>
    <w:rsid w:val="31532430"/>
    <w:rsid w:val="31A94281"/>
    <w:rsid w:val="31B0085C"/>
    <w:rsid w:val="3201712A"/>
    <w:rsid w:val="32AE24BF"/>
    <w:rsid w:val="32EC5C27"/>
    <w:rsid w:val="39717122"/>
    <w:rsid w:val="3A004ED1"/>
    <w:rsid w:val="3A8F1796"/>
    <w:rsid w:val="3C0A4D9B"/>
    <w:rsid w:val="3C4070BA"/>
    <w:rsid w:val="3C8B257D"/>
    <w:rsid w:val="3EC81291"/>
    <w:rsid w:val="3F3423F7"/>
    <w:rsid w:val="3FD03A62"/>
    <w:rsid w:val="40A62E81"/>
    <w:rsid w:val="425F46A7"/>
    <w:rsid w:val="438374B2"/>
    <w:rsid w:val="478738F1"/>
    <w:rsid w:val="49E654BD"/>
    <w:rsid w:val="4A014B56"/>
    <w:rsid w:val="4A237583"/>
    <w:rsid w:val="4B495D6B"/>
    <w:rsid w:val="4B540954"/>
    <w:rsid w:val="4C1627DD"/>
    <w:rsid w:val="4C6D6B1E"/>
    <w:rsid w:val="4D61273D"/>
    <w:rsid w:val="4D86614F"/>
    <w:rsid w:val="4DE053C4"/>
    <w:rsid w:val="4EBB1B3E"/>
    <w:rsid w:val="4F4D7225"/>
    <w:rsid w:val="4F5B4F99"/>
    <w:rsid w:val="504A5E0B"/>
    <w:rsid w:val="513E4CEF"/>
    <w:rsid w:val="514A6256"/>
    <w:rsid w:val="52915D6D"/>
    <w:rsid w:val="529B023F"/>
    <w:rsid w:val="534415EE"/>
    <w:rsid w:val="538C5F06"/>
    <w:rsid w:val="53E62C33"/>
    <w:rsid w:val="54077FA8"/>
    <w:rsid w:val="57E02CC4"/>
    <w:rsid w:val="58CA6E2F"/>
    <w:rsid w:val="59FE6232"/>
    <w:rsid w:val="5A3A3464"/>
    <w:rsid w:val="5BB6740B"/>
    <w:rsid w:val="5BEF63B0"/>
    <w:rsid w:val="5D1C4331"/>
    <w:rsid w:val="5EC079CF"/>
    <w:rsid w:val="5F261713"/>
    <w:rsid w:val="5F5D425C"/>
    <w:rsid w:val="60D45425"/>
    <w:rsid w:val="613474E1"/>
    <w:rsid w:val="61AD2181"/>
    <w:rsid w:val="61EB4A07"/>
    <w:rsid w:val="651915C4"/>
    <w:rsid w:val="656D40F0"/>
    <w:rsid w:val="67A07A8D"/>
    <w:rsid w:val="69603C65"/>
    <w:rsid w:val="6A4F6973"/>
    <w:rsid w:val="6C1B79CD"/>
    <w:rsid w:val="6C2252B5"/>
    <w:rsid w:val="6CC17394"/>
    <w:rsid w:val="6DD82284"/>
    <w:rsid w:val="6ED9547C"/>
    <w:rsid w:val="6F392F8E"/>
    <w:rsid w:val="71C97B80"/>
    <w:rsid w:val="72391896"/>
    <w:rsid w:val="737A1D43"/>
    <w:rsid w:val="74523E5A"/>
    <w:rsid w:val="747130C8"/>
    <w:rsid w:val="766C3D08"/>
    <w:rsid w:val="76D12412"/>
    <w:rsid w:val="77091498"/>
    <w:rsid w:val="78230D9F"/>
    <w:rsid w:val="79294073"/>
    <w:rsid w:val="7B2F14DB"/>
    <w:rsid w:val="7B6A26EB"/>
    <w:rsid w:val="7BF90D9A"/>
    <w:rsid w:val="7E9A23C5"/>
    <w:rsid w:val="7FE124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spacing w:before="260" w:after="260"/>
      <w:outlineLvl w:val="2"/>
    </w:pPr>
    <w:rPr>
      <w:rFonts w:hint="eastAsia" w:ascii="宋体" w:hAnsi="宋体"/>
      <w:szCs w:val="32"/>
    </w:rPr>
  </w:style>
  <w:style w:type="paragraph" w:styleId="5">
    <w:name w:val="heading 4"/>
    <w:basedOn w:val="1"/>
    <w:next w:val="1"/>
    <w:qFormat/>
    <w:uiPriority w:val="0"/>
    <w:pPr>
      <w:keepNext/>
      <w:keepLines/>
      <w:spacing w:before="280" w:after="290" w:line="376" w:lineRule="auto"/>
      <w:outlineLvl w:val="3"/>
    </w:pPr>
    <w:rPr>
      <w:rFonts w:ascii="Cambria" w:hAnsi="Cambria"/>
      <w:b/>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next w:val="8"/>
    <w:link w:val="26"/>
    <w:qFormat/>
    <w:uiPriority w:val="0"/>
    <w:pPr>
      <w:widowControl/>
      <w:shd w:val="clear" w:color="auto" w:fill="FFFFFF"/>
      <w:tabs>
        <w:tab w:val="left" w:pos="426"/>
      </w:tabs>
      <w:autoSpaceDE w:val="0"/>
      <w:autoSpaceDN w:val="0"/>
      <w:adjustRightInd w:val="0"/>
      <w:snapToGrid w:val="0"/>
      <w:spacing w:line="360" w:lineRule="auto"/>
      <w:jc w:val="left"/>
      <w:textAlignment w:val="baseline"/>
    </w:pPr>
    <w:rPr>
      <w:rFonts w:ascii="宋体"/>
      <w:kern w:val="0"/>
      <w:sz w:val="34"/>
      <w:szCs w:val="20"/>
    </w:rPr>
  </w:style>
  <w:style w:type="paragraph" w:styleId="8">
    <w:name w:val="toc 5"/>
    <w:basedOn w:val="1"/>
    <w:next w:val="1"/>
    <w:semiHidden/>
    <w:qFormat/>
    <w:uiPriority w:val="0"/>
    <w:pPr>
      <w:ind w:left="840"/>
      <w:jc w:val="left"/>
    </w:pPr>
    <w:rPr>
      <w:szCs w:val="21"/>
    </w:rPr>
  </w:style>
  <w:style w:type="paragraph" w:styleId="9">
    <w:name w:val="Body Text"/>
    <w:basedOn w:val="1"/>
    <w:next w:val="1"/>
    <w:link w:val="32"/>
    <w:qFormat/>
    <w:uiPriority w:val="0"/>
    <w:pPr>
      <w:spacing w:after="120"/>
    </w:pPr>
  </w:style>
  <w:style w:type="paragraph" w:styleId="10">
    <w:name w:val="Plain Text"/>
    <w:basedOn w:val="1"/>
    <w:qFormat/>
    <w:uiPriority w:val="99"/>
    <w:rPr>
      <w:rFonts w:ascii="宋体" w:hAnsi="Courier New"/>
      <w:szCs w:val="20"/>
    </w:rPr>
  </w:style>
  <w:style w:type="paragraph" w:styleId="11">
    <w:name w:val="Date"/>
    <w:basedOn w:val="1"/>
    <w:next w:val="1"/>
    <w:qFormat/>
    <w:uiPriority w:val="0"/>
    <w:rPr>
      <w:rFonts w:ascii="宋体" w:hAnsi="Courier New"/>
      <w:sz w:val="32"/>
      <w:szCs w:val="20"/>
    </w:rPr>
  </w:style>
  <w:style w:type="paragraph" w:styleId="12">
    <w:name w:val="Balloon Text"/>
    <w:basedOn w:val="1"/>
    <w:link w:val="30"/>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28"/>
    <w:qFormat/>
    <w:uiPriority w:val="0"/>
    <w:pPr>
      <w:widowControl/>
      <w:shd w:val="clear" w:color="auto" w:fill="FFFFFF"/>
      <w:tabs>
        <w:tab w:val="left" w:pos="426"/>
      </w:tabs>
      <w:adjustRightInd w:val="0"/>
      <w:snapToGrid w:val="0"/>
      <w:spacing w:before="240" w:after="60" w:line="312" w:lineRule="auto"/>
      <w:jc w:val="center"/>
      <w:outlineLvl w:val="1"/>
    </w:pPr>
    <w:rPr>
      <w:rFonts w:ascii="Cambria" w:hAnsi="Cambria"/>
      <w:b/>
      <w:bCs/>
      <w:kern w:val="28"/>
      <w:sz w:val="28"/>
      <w:szCs w:val="32"/>
    </w:rPr>
  </w:style>
  <w:style w:type="paragraph" w:styleId="16">
    <w:name w:val="Body Text 2"/>
    <w:basedOn w:val="1"/>
    <w:qFormat/>
    <w:uiPriority w:val="0"/>
    <w:pPr>
      <w:spacing w:after="120" w:line="480" w:lineRule="auto"/>
    </w:pPr>
    <w:rPr>
      <w:szCs w:val="24"/>
    </w:rPr>
  </w:style>
  <w:style w:type="paragraph" w:styleId="17">
    <w:name w:val="Normal (Web)"/>
    <w:basedOn w:val="1"/>
    <w:unhideWhenUsed/>
    <w:qFormat/>
    <w:uiPriority w:val="0"/>
    <w:rPr>
      <w:sz w:val="24"/>
    </w:rPr>
  </w:style>
  <w:style w:type="paragraph" w:styleId="18">
    <w:name w:val="annotation subject"/>
    <w:basedOn w:val="7"/>
    <w:next w:val="7"/>
    <w:link w:val="29"/>
    <w:qFormat/>
    <w:uiPriority w:val="0"/>
    <w:pPr>
      <w:widowControl w:val="0"/>
      <w:shd w:val="clear" w:color="auto" w:fill="auto"/>
      <w:autoSpaceDE/>
      <w:autoSpaceDN/>
      <w:adjustRightInd/>
      <w:snapToGrid/>
      <w:spacing w:line="240" w:lineRule="auto"/>
      <w:textAlignment w:val="auto"/>
    </w:pPr>
    <w:rPr>
      <w:rFonts w:ascii="Times New Roman"/>
      <w:b/>
      <w:bCs/>
      <w:kern w:val="2"/>
      <w:sz w:val="21"/>
      <w:szCs w:val="24"/>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qFormat/>
    <w:uiPriority w:val="0"/>
    <w:rPr>
      <w:sz w:val="21"/>
      <w:szCs w:val="21"/>
    </w:rPr>
  </w:style>
  <w:style w:type="character" w:customStyle="1" w:styleId="23">
    <w:name w:val="标题 2 Char"/>
    <w:basedOn w:val="21"/>
    <w:link w:val="4"/>
    <w:qFormat/>
    <w:uiPriority w:val="0"/>
    <w:rPr>
      <w:rFonts w:ascii="Arial" w:hAnsi="Arial" w:eastAsia="黑体"/>
      <w:b/>
      <w:bCs/>
      <w:kern w:val="2"/>
      <w:sz w:val="32"/>
      <w:szCs w:val="32"/>
    </w:rPr>
  </w:style>
  <w:style w:type="character" w:customStyle="1" w:styleId="24">
    <w:name w:val="标题 1 Char"/>
    <w:basedOn w:val="21"/>
    <w:link w:val="3"/>
    <w:qFormat/>
    <w:uiPriority w:val="0"/>
    <w:rPr>
      <w:b/>
      <w:bCs/>
      <w:kern w:val="44"/>
      <w:sz w:val="44"/>
      <w:szCs w:val="44"/>
    </w:rPr>
  </w:style>
  <w:style w:type="paragraph" w:customStyle="1" w:styleId="25">
    <w:name w:val="List Paragraph"/>
    <w:basedOn w:val="1"/>
    <w:qFormat/>
    <w:uiPriority w:val="34"/>
    <w:pPr>
      <w:ind w:firstLine="420" w:firstLineChars="200"/>
    </w:pPr>
  </w:style>
  <w:style w:type="character" w:customStyle="1" w:styleId="26">
    <w:name w:val="批注文字 Char"/>
    <w:basedOn w:val="21"/>
    <w:link w:val="7"/>
    <w:qFormat/>
    <w:uiPriority w:val="0"/>
    <w:rPr>
      <w:rFonts w:ascii="宋体" w:hAnsi="Times New Roman"/>
      <w:sz w:val="34"/>
      <w:shd w:val="clear" w:color="auto" w:fill="FFFFFF"/>
    </w:rPr>
  </w:style>
  <w:style w:type="character" w:customStyle="1" w:styleId="27">
    <w:name w:val="副标题 Char"/>
    <w:basedOn w:val="21"/>
    <w:qFormat/>
    <w:uiPriority w:val="0"/>
    <w:rPr>
      <w:rFonts w:asciiTheme="majorHAnsi" w:hAnsiTheme="majorHAnsi" w:cstheme="majorBidi"/>
      <w:b/>
      <w:bCs/>
      <w:kern w:val="28"/>
      <w:sz w:val="32"/>
      <w:szCs w:val="32"/>
    </w:rPr>
  </w:style>
  <w:style w:type="character" w:customStyle="1" w:styleId="28">
    <w:name w:val="副标题 Char1"/>
    <w:link w:val="15"/>
    <w:qFormat/>
    <w:uiPriority w:val="0"/>
    <w:rPr>
      <w:rFonts w:ascii="Cambria" w:hAnsi="Cambria"/>
      <w:b/>
      <w:bCs/>
      <w:kern w:val="28"/>
      <w:sz w:val="28"/>
      <w:szCs w:val="32"/>
      <w:shd w:val="clear" w:color="auto" w:fill="FFFFFF"/>
    </w:rPr>
  </w:style>
  <w:style w:type="character" w:customStyle="1" w:styleId="29">
    <w:name w:val="批注主题 Char"/>
    <w:basedOn w:val="26"/>
    <w:link w:val="18"/>
    <w:qFormat/>
    <w:uiPriority w:val="0"/>
    <w:rPr>
      <w:rFonts w:ascii="Times New Roman" w:hAnsi="Times New Roman"/>
      <w:b/>
      <w:bCs/>
      <w:kern w:val="2"/>
      <w:sz w:val="21"/>
      <w:szCs w:val="24"/>
      <w:shd w:val="clear" w:color="auto" w:fill="FFFFFF"/>
    </w:rPr>
  </w:style>
  <w:style w:type="character" w:customStyle="1" w:styleId="30">
    <w:name w:val="批注框文本 Char"/>
    <w:basedOn w:val="21"/>
    <w:link w:val="12"/>
    <w:qFormat/>
    <w:uiPriority w:val="0"/>
    <w:rPr>
      <w:rFonts w:ascii="Times New Roman" w:hAnsi="Times New Roman"/>
      <w:kern w:val="2"/>
      <w:sz w:val="18"/>
      <w:szCs w:val="18"/>
    </w:rPr>
  </w:style>
  <w:style w:type="character" w:customStyle="1" w:styleId="31">
    <w:name w:val="页眉 Char"/>
    <w:basedOn w:val="21"/>
    <w:link w:val="14"/>
    <w:qFormat/>
    <w:uiPriority w:val="0"/>
    <w:rPr>
      <w:rFonts w:ascii="Times New Roman" w:hAnsi="Times New Roman"/>
      <w:kern w:val="2"/>
      <w:sz w:val="18"/>
      <w:szCs w:val="18"/>
    </w:rPr>
  </w:style>
  <w:style w:type="character" w:customStyle="1" w:styleId="32">
    <w:name w:val="正文文本 Char"/>
    <w:basedOn w:val="21"/>
    <w:link w:val="9"/>
    <w:qFormat/>
    <w:uiPriority w:val="0"/>
    <w:rPr>
      <w:kern w:val="2"/>
      <w:sz w:val="21"/>
      <w:szCs w:val="24"/>
    </w:rPr>
  </w:style>
  <w:style w:type="character" w:customStyle="1" w:styleId="33">
    <w:name w:val="正文文本 Char1"/>
    <w:basedOn w:val="21"/>
    <w:qFormat/>
    <w:uiPriority w:val="0"/>
    <w:rPr>
      <w:rFonts w:hint="eastAsia" w:ascii="宋体" w:hAnsi="宋体" w:eastAsia="宋体" w:cs="宋体"/>
      <w:kern w:val="2"/>
      <w:sz w:val="21"/>
      <w:szCs w:val="24"/>
      <w:lang w:val="en-US" w:eastAsia="zh-CN" w:bidi="ar"/>
    </w:r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5">
    <w:name w:val="font41"/>
    <w:qFormat/>
    <w:uiPriority w:val="0"/>
    <w:rPr>
      <w:rFonts w:ascii="Arial" w:hAnsi="Arial" w:cs="Arial"/>
      <w:color w:val="FF0000"/>
      <w:sz w:val="20"/>
      <w:szCs w:val="20"/>
      <w:u w:val="none"/>
      <w:lang w:bidi="ar-SA"/>
    </w:rPr>
  </w:style>
  <w:style w:type="character" w:customStyle="1" w:styleId="36">
    <w:name w:val="标准文本 Char"/>
    <w:link w:val="37"/>
    <w:qFormat/>
    <w:uiPriority w:val="0"/>
    <w:rPr>
      <w:kern w:val="0"/>
      <w:sz w:val="24"/>
      <w:szCs w:val="20"/>
    </w:rPr>
  </w:style>
  <w:style w:type="paragraph" w:customStyle="1" w:styleId="37">
    <w:name w:val="标准文本"/>
    <w:basedOn w:val="1"/>
    <w:link w:val="36"/>
    <w:qFormat/>
    <w:uiPriority w:val="0"/>
    <w:pPr>
      <w:spacing w:line="360" w:lineRule="auto"/>
      <w:ind w:firstLine="480" w:firstLineChars="200"/>
    </w:pPr>
    <w:rPr>
      <w:kern w:val="0"/>
      <w:sz w:val="24"/>
      <w:szCs w:val="20"/>
    </w:rPr>
  </w:style>
  <w:style w:type="paragraph" w:customStyle="1" w:styleId="38">
    <w:name w:val=".正文"/>
    <w:basedOn w:val="1"/>
    <w:qFormat/>
    <w:uiPriority w:val="0"/>
    <w:pPr>
      <w:spacing w:beforeLines="50"/>
      <w:ind w:firstLine="200" w:firstLineChars="200"/>
    </w:pPr>
    <w:rPr>
      <w:rFonts w:eastAsia="华文仿宋"/>
      <w:szCs w:val="22"/>
    </w:rPr>
  </w:style>
  <w:style w:type="paragraph" w:customStyle="1" w:styleId="39">
    <w:name w:val="二号标题"/>
    <w:basedOn w:val="1"/>
    <w:qFormat/>
    <w:uiPriority w:val="0"/>
    <w:pPr>
      <w:widowControl/>
      <w:tabs>
        <w:tab w:val="left" w:pos="663"/>
      </w:tabs>
      <w:spacing w:before="200"/>
      <w:jc w:val="left"/>
      <w:outlineLvl w:val="1"/>
    </w:pPr>
    <w:rPr>
      <w:rFonts w:eastAsia="黑体"/>
      <w:b/>
      <w:bCs/>
      <w:kern w:val="0"/>
      <w:sz w:val="28"/>
      <w:szCs w:val="28"/>
    </w:rPr>
  </w:style>
  <w:style w:type="paragraph" w:customStyle="1" w:styleId="40">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10087</Words>
  <Characters>10490</Characters>
  <Lines>442</Lines>
  <Paragraphs>349</Paragraphs>
  <TotalTime>21</TotalTime>
  <ScaleCrop>false</ScaleCrop>
  <LinksUpToDate>false</LinksUpToDate>
  <CharactersWithSpaces>11144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2019-09-27T15:02:00Z</dcterms:created>
  <dc:creator>123</dc:creator>
  <cp:lastModifiedBy>林兰</cp:lastModifiedBy>
  <dcterms:modified xsi:type="dcterms:W3CDTF">2024-03-18T01:19:43Z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D5345E72A64C45D9840EE23D62D6D86B</vt:lpwstr>
  </property>
</Properties>
</file>